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A6E" w:rsidRDefault="008F4A6E" w:rsidP="008F4A6E">
      <w:pPr>
        <w:pStyle w:val="Title"/>
      </w:pPr>
      <w:r>
        <w:t>CURRICULUM VITAE</w:t>
      </w:r>
    </w:p>
    <w:p w:rsidR="008F4A6E" w:rsidRDefault="008F4A6E" w:rsidP="008F4A6E">
      <w:pPr>
        <w:jc w:val="center"/>
        <w:rPr>
          <w:b/>
        </w:rPr>
      </w:pPr>
    </w:p>
    <w:p w:rsidR="008F4A6E" w:rsidRDefault="008F4A6E" w:rsidP="008F4A6E">
      <w:pPr>
        <w:jc w:val="center"/>
        <w:rPr>
          <w:b/>
        </w:rPr>
      </w:pPr>
      <w:r>
        <w:rPr>
          <w:b/>
        </w:rPr>
        <w:t>JANJIRA THAIPADUNGPANIT</w:t>
      </w:r>
    </w:p>
    <w:p w:rsidR="008F4A6E" w:rsidRDefault="008F4A6E" w:rsidP="008F4A6E">
      <w:pPr>
        <w:jc w:val="center"/>
      </w:pPr>
    </w:p>
    <w:p w:rsidR="008F4A6E" w:rsidRDefault="008F4A6E" w:rsidP="008F4A6E"/>
    <w:p w:rsidR="008F4A6E" w:rsidRDefault="008F4A6E" w:rsidP="008F4A6E">
      <w:pPr>
        <w:pStyle w:val="BodyText"/>
        <w:ind w:left="993" w:hanging="993"/>
        <w:jc w:val="left"/>
      </w:pPr>
      <w:r>
        <w:rPr>
          <w:b/>
        </w:rPr>
        <w:t>Address</w:t>
      </w:r>
      <w:r>
        <w:rPr>
          <w:b/>
        </w:rPr>
        <w:tab/>
      </w:r>
      <w:r>
        <w:t xml:space="preserve">174 </w:t>
      </w:r>
      <w:proofErr w:type="spellStart"/>
      <w:r>
        <w:t>Boromrachonanee</w:t>
      </w:r>
      <w:proofErr w:type="spellEnd"/>
      <w:r>
        <w:t xml:space="preserve"> Road, </w:t>
      </w:r>
      <w:proofErr w:type="spellStart"/>
      <w:r>
        <w:t>Bangpat</w:t>
      </w:r>
      <w:proofErr w:type="spellEnd"/>
      <w:r>
        <w:t xml:space="preserve">, Bangkok 10700 THAILAND </w:t>
      </w:r>
    </w:p>
    <w:p w:rsidR="008F4A6E" w:rsidRDefault="008F4A6E" w:rsidP="008F4A6E">
      <w:pPr>
        <w:pStyle w:val="BodyText"/>
        <w:ind w:left="993"/>
        <w:jc w:val="left"/>
      </w:pPr>
      <w:r>
        <w:t>Tel. 66-8-46450719</w:t>
      </w:r>
    </w:p>
    <w:p w:rsidR="008F4A6E" w:rsidRDefault="008F4A6E" w:rsidP="008F4A6E">
      <w:pPr>
        <w:pStyle w:val="BodyText"/>
        <w:ind w:left="993"/>
        <w:jc w:val="left"/>
      </w:pPr>
    </w:p>
    <w:p w:rsidR="008F4A6E" w:rsidRDefault="008F4A6E" w:rsidP="008F4A6E">
      <w:pPr>
        <w:ind w:left="900" w:hanging="900"/>
        <w:rPr>
          <w:lang w:val="en-US"/>
        </w:rPr>
      </w:pPr>
      <w:r>
        <w:rPr>
          <w:b/>
        </w:rPr>
        <w:t>Office</w:t>
      </w:r>
      <w:r>
        <w:rPr>
          <w:b/>
        </w:rPr>
        <w:tab/>
      </w:r>
      <w:r>
        <w:rPr>
          <w:lang w:val="en-US"/>
        </w:rPr>
        <w:t>Mahidol-Oxford Tropical Medicine Research Unit</w:t>
      </w:r>
      <w:r w:rsidRPr="00346070">
        <w:rPr>
          <w:lang w:val="en-US"/>
        </w:rPr>
        <w:t xml:space="preserve"> </w:t>
      </w:r>
    </w:p>
    <w:p w:rsidR="008F4A6E" w:rsidRDefault="008F4A6E" w:rsidP="008F4A6E">
      <w:pPr>
        <w:ind w:left="900"/>
        <w:rPr>
          <w:lang w:val="en-US"/>
        </w:rPr>
      </w:pPr>
      <w:r>
        <w:rPr>
          <w:lang w:val="en-US"/>
        </w:rPr>
        <w:t>Mahidol University Bangkok</w:t>
      </w:r>
    </w:p>
    <w:p w:rsidR="008F4A6E" w:rsidRPr="00346070" w:rsidRDefault="008F4A6E" w:rsidP="008F4A6E">
      <w:pPr>
        <w:ind w:left="900"/>
        <w:rPr>
          <w:bCs/>
        </w:rPr>
      </w:pPr>
      <w:r w:rsidRPr="00346070">
        <w:rPr>
          <w:lang w:val="en-US"/>
        </w:rPr>
        <w:t>Thailand</w:t>
      </w:r>
      <w:r>
        <w:rPr>
          <w:lang w:val="en-US"/>
        </w:rPr>
        <w:t xml:space="preserve"> Tel. 66-2-2036327</w:t>
      </w:r>
    </w:p>
    <w:p w:rsidR="008F4A6E" w:rsidRDefault="008F4A6E" w:rsidP="008F4A6E">
      <w:pPr>
        <w:ind w:left="900"/>
      </w:pPr>
    </w:p>
    <w:p w:rsidR="008F4A6E" w:rsidRDefault="008F4A6E" w:rsidP="008F4A6E">
      <w:pPr>
        <w:ind w:left="993" w:hanging="993"/>
      </w:pPr>
    </w:p>
    <w:p w:rsidR="008F4A6E" w:rsidRDefault="008F4A6E" w:rsidP="008F4A6E">
      <w:pPr>
        <w:ind w:left="993" w:hanging="993"/>
        <w:rPr>
          <w:bCs/>
        </w:rPr>
      </w:pPr>
      <w:r>
        <w:rPr>
          <w:b/>
        </w:rPr>
        <w:t xml:space="preserve">E-mail address </w:t>
      </w:r>
      <w:bookmarkStart w:id="0" w:name="_GoBack"/>
      <w:bookmarkEnd w:id="0"/>
      <w:r>
        <w:t xml:space="preserve">janjira@tropmedres.ac or </w:t>
      </w:r>
      <w:r>
        <w:rPr>
          <w:bCs/>
        </w:rPr>
        <w:t>janjira.thai@gmail.com</w:t>
      </w:r>
    </w:p>
    <w:p w:rsidR="008F4A6E" w:rsidRDefault="008F4A6E" w:rsidP="008F4A6E">
      <w:pPr>
        <w:ind w:left="993" w:hanging="993"/>
        <w:rPr>
          <w:bCs/>
        </w:rPr>
      </w:pPr>
    </w:p>
    <w:p w:rsidR="008F4A6E" w:rsidRDefault="008F4A6E" w:rsidP="008F4A6E">
      <w:pPr>
        <w:ind w:left="993" w:hanging="993"/>
        <w:rPr>
          <w:bCs/>
          <w:lang w:val="en-US" w:bidi="th-TH"/>
        </w:rPr>
      </w:pPr>
      <w:r w:rsidRPr="002A46CF">
        <w:rPr>
          <w:b/>
          <w:lang w:val="en-US"/>
        </w:rPr>
        <w:t>Position</w:t>
      </w:r>
      <w:r w:rsidRPr="002A46CF">
        <w:rPr>
          <w:b/>
          <w:lang w:val="en-US"/>
        </w:rPr>
        <w:tab/>
      </w:r>
      <w:r>
        <w:rPr>
          <w:bCs/>
          <w:lang w:val="en-US"/>
        </w:rPr>
        <w:t>Head of Molecular Microbiology</w:t>
      </w:r>
    </w:p>
    <w:p w:rsidR="008F4A6E" w:rsidRPr="002A46CF" w:rsidRDefault="008F4A6E" w:rsidP="008F4A6E">
      <w:pPr>
        <w:ind w:left="993" w:hanging="993"/>
        <w:rPr>
          <w:b/>
          <w:lang w:val="en-US"/>
        </w:rPr>
      </w:pPr>
    </w:p>
    <w:p w:rsidR="008F4A6E" w:rsidRDefault="008F4A6E" w:rsidP="008F4A6E">
      <w:pPr>
        <w:ind w:left="993" w:hanging="993"/>
      </w:pPr>
      <w:r>
        <w:rPr>
          <w:b/>
        </w:rPr>
        <w:t xml:space="preserve">Marital status </w:t>
      </w:r>
      <w:r>
        <w:rPr>
          <w:bCs/>
        </w:rPr>
        <w:t>Married</w:t>
      </w:r>
    </w:p>
    <w:p w:rsidR="008F4A6E" w:rsidRDefault="008F4A6E" w:rsidP="008F4A6E">
      <w:pPr>
        <w:ind w:left="993" w:hanging="993"/>
      </w:pPr>
    </w:p>
    <w:p w:rsidR="008F4A6E" w:rsidRDefault="008F4A6E" w:rsidP="008F4A6E">
      <w:pPr>
        <w:spacing w:line="360" w:lineRule="auto"/>
        <w:ind w:left="993" w:hanging="993"/>
        <w:rPr>
          <w:b/>
        </w:rPr>
      </w:pPr>
      <w:r>
        <w:rPr>
          <w:b/>
        </w:rPr>
        <w:t>Education</w:t>
      </w:r>
    </w:p>
    <w:tbl>
      <w:tblPr>
        <w:tblW w:w="9195" w:type="dxa"/>
        <w:tblInd w:w="-432" w:type="dxa"/>
        <w:tblLook w:val="04A0" w:firstRow="1" w:lastRow="0" w:firstColumn="1" w:lastColumn="0" w:noHBand="0" w:noVBand="1"/>
      </w:tblPr>
      <w:tblGrid>
        <w:gridCol w:w="9195"/>
      </w:tblGrid>
      <w:tr w:rsidR="008F4A6E" w:rsidRPr="00935446" w:rsidTr="008F4A6E">
        <w:trPr>
          <w:trHeight w:val="300"/>
        </w:trPr>
        <w:tc>
          <w:tcPr>
            <w:tcW w:w="9195" w:type="dxa"/>
            <w:tcBorders>
              <w:top w:val="nil"/>
              <w:left w:val="nil"/>
              <w:bottom w:val="nil"/>
              <w:right w:val="nil"/>
            </w:tcBorders>
            <w:shd w:val="clear" w:color="auto" w:fill="auto"/>
            <w:noWrap/>
            <w:vAlign w:val="center"/>
            <w:hideMark/>
          </w:tcPr>
          <w:p w:rsidR="008F4A6E" w:rsidRPr="00935446" w:rsidRDefault="008F4A6E" w:rsidP="008F4A6E">
            <w:pPr>
              <w:ind w:left="1141"/>
              <w:rPr>
                <w:rFonts w:cs="Times New Roman"/>
                <w:color w:val="000000"/>
                <w:lang w:val="en-US"/>
              </w:rPr>
            </w:pPr>
            <w:r w:rsidRPr="00935446">
              <w:rPr>
                <w:rFonts w:cs="Times New Roman"/>
                <w:color w:val="000000"/>
                <w:lang w:val="en-US"/>
              </w:rPr>
              <w:t xml:space="preserve">Ph.D. (Life and </w:t>
            </w:r>
            <w:proofErr w:type="spellStart"/>
            <w:r w:rsidRPr="00935446">
              <w:rPr>
                <w:rFonts w:cs="Times New Roman"/>
                <w:color w:val="000000"/>
                <w:lang w:val="en-US"/>
              </w:rPr>
              <w:t>Biomolecular</w:t>
            </w:r>
            <w:proofErr w:type="spellEnd"/>
            <w:r w:rsidRPr="00935446">
              <w:rPr>
                <w:rFonts w:cs="Times New Roman"/>
                <w:color w:val="000000"/>
                <w:lang w:val="en-US"/>
              </w:rPr>
              <w:t xml:space="preserve"> Sciences), The Open University, Milton Keynes, UK, 2008</w:t>
            </w:r>
          </w:p>
        </w:tc>
      </w:tr>
      <w:tr w:rsidR="008F4A6E" w:rsidRPr="00935446" w:rsidTr="008F4A6E">
        <w:trPr>
          <w:trHeight w:val="300"/>
        </w:trPr>
        <w:tc>
          <w:tcPr>
            <w:tcW w:w="9195" w:type="dxa"/>
            <w:tcBorders>
              <w:top w:val="nil"/>
              <w:left w:val="nil"/>
              <w:bottom w:val="nil"/>
              <w:right w:val="nil"/>
            </w:tcBorders>
            <w:shd w:val="clear" w:color="auto" w:fill="auto"/>
            <w:noWrap/>
            <w:vAlign w:val="center"/>
            <w:hideMark/>
          </w:tcPr>
          <w:p w:rsidR="008F4A6E" w:rsidRDefault="008F4A6E" w:rsidP="008F4A6E">
            <w:pPr>
              <w:ind w:left="1141"/>
              <w:rPr>
                <w:rFonts w:cs="Times New Roman"/>
                <w:color w:val="000000"/>
                <w:lang w:val="en-US"/>
              </w:rPr>
            </w:pPr>
          </w:p>
          <w:p w:rsidR="008F4A6E" w:rsidRPr="00935446" w:rsidRDefault="008F4A6E" w:rsidP="008F4A6E">
            <w:pPr>
              <w:ind w:left="1141"/>
              <w:rPr>
                <w:rFonts w:cs="Times New Roman"/>
                <w:color w:val="000000"/>
                <w:lang w:val="en-US"/>
              </w:rPr>
            </w:pPr>
            <w:r w:rsidRPr="00935446">
              <w:rPr>
                <w:rFonts w:cs="Times New Roman"/>
                <w:color w:val="000000"/>
                <w:lang w:val="en-US"/>
              </w:rPr>
              <w:t>M.Sc. (Molecular Genetics and Genetic Engineering), Mahidol University (</w:t>
            </w:r>
            <w:proofErr w:type="spellStart"/>
            <w:r w:rsidRPr="00935446">
              <w:rPr>
                <w:rFonts w:cs="Times New Roman"/>
                <w:color w:val="000000"/>
                <w:lang w:val="en-US"/>
              </w:rPr>
              <w:t>Salaya</w:t>
            </w:r>
            <w:proofErr w:type="spellEnd"/>
            <w:r w:rsidRPr="00935446">
              <w:rPr>
                <w:rFonts w:cs="Times New Roman"/>
                <w:color w:val="000000"/>
                <w:lang w:val="en-US"/>
              </w:rPr>
              <w:t xml:space="preserve"> Campus), Bangkok, Thailand, 2003</w:t>
            </w:r>
          </w:p>
        </w:tc>
      </w:tr>
      <w:tr w:rsidR="008F4A6E" w:rsidRPr="00935446" w:rsidTr="008F4A6E">
        <w:trPr>
          <w:trHeight w:val="300"/>
        </w:trPr>
        <w:tc>
          <w:tcPr>
            <w:tcW w:w="9195" w:type="dxa"/>
            <w:tcBorders>
              <w:top w:val="nil"/>
              <w:left w:val="nil"/>
              <w:bottom w:val="nil"/>
              <w:right w:val="nil"/>
            </w:tcBorders>
            <w:shd w:val="clear" w:color="auto" w:fill="auto"/>
            <w:noWrap/>
            <w:vAlign w:val="center"/>
            <w:hideMark/>
          </w:tcPr>
          <w:p w:rsidR="008F4A6E" w:rsidRDefault="008F4A6E" w:rsidP="008F4A6E">
            <w:pPr>
              <w:ind w:left="1141"/>
              <w:rPr>
                <w:rFonts w:cs="Times New Roman"/>
                <w:color w:val="000000"/>
                <w:lang w:val="en-US"/>
              </w:rPr>
            </w:pPr>
          </w:p>
          <w:p w:rsidR="008F4A6E" w:rsidRPr="00935446" w:rsidRDefault="008F4A6E" w:rsidP="008F4A6E">
            <w:pPr>
              <w:ind w:left="1141"/>
              <w:rPr>
                <w:rFonts w:cs="Times New Roman"/>
                <w:color w:val="000000"/>
                <w:lang w:val="en-US"/>
              </w:rPr>
            </w:pPr>
            <w:r w:rsidRPr="00935446">
              <w:rPr>
                <w:rFonts w:cs="Times New Roman"/>
                <w:color w:val="000000"/>
                <w:lang w:val="en-US"/>
              </w:rPr>
              <w:t xml:space="preserve">B.Sc. (Biotechnology), King </w:t>
            </w:r>
            <w:proofErr w:type="spellStart"/>
            <w:r w:rsidRPr="00935446">
              <w:rPr>
                <w:rFonts w:cs="Times New Roman"/>
                <w:color w:val="000000"/>
                <w:lang w:val="en-US"/>
              </w:rPr>
              <w:t>Mongkut’s</w:t>
            </w:r>
            <w:proofErr w:type="spellEnd"/>
            <w:r w:rsidRPr="00935446">
              <w:rPr>
                <w:rFonts w:cs="Times New Roman"/>
                <w:color w:val="000000"/>
                <w:lang w:val="en-US"/>
              </w:rPr>
              <w:t xml:space="preserve"> Institute of Technology </w:t>
            </w:r>
            <w:proofErr w:type="spellStart"/>
            <w:r w:rsidRPr="00935446">
              <w:rPr>
                <w:rFonts w:cs="Times New Roman"/>
                <w:color w:val="000000"/>
                <w:lang w:val="en-US"/>
              </w:rPr>
              <w:t>Ladkrabang</w:t>
            </w:r>
            <w:proofErr w:type="spellEnd"/>
            <w:r w:rsidRPr="00935446">
              <w:rPr>
                <w:rFonts w:cs="Times New Roman"/>
                <w:color w:val="000000"/>
                <w:lang w:val="en-US"/>
              </w:rPr>
              <w:t xml:space="preserve">, Bangkok, Thailand, 1999 </w:t>
            </w:r>
          </w:p>
        </w:tc>
      </w:tr>
    </w:tbl>
    <w:p w:rsidR="008F4A6E" w:rsidRDefault="008F4A6E" w:rsidP="008F4A6E">
      <w:pPr>
        <w:ind w:left="720" w:hanging="993"/>
      </w:pPr>
    </w:p>
    <w:p w:rsidR="008F4A6E" w:rsidRPr="009831AC" w:rsidRDefault="008F4A6E" w:rsidP="008F4A6E">
      <w:pPr>
        <w:spacing w:line="360" w:lineRule="auto"/>
        <w:rPr>
          <w:b/>
          <w:bCs/>
        </w:rPr>
      </w:pPr>
      <w:r w:rsidRPr="00657A7B">
        <w:rPr>
          <w:b/>
          <w:bCs/>
        </w:rPr>
        <w:t>Research and Professional Experience</w:t>
      </w:r>
    </w:p>
    <w:p w:rsidR="008F4A6E" w:rsidRDefault="008F4A6E" w:rsidP="008F4A6E">
      <w:pPr>
        <w:pStyle w:val="BodyTextIndent2"/>
        <w:ind w:left="2160" w:hanging="1451"/>
        <w:rPr>
          <w:b w:val="0"/>
          <w:bCs w:val="0"/>
          <w:i w:val="0"/>
          <w:iCs w:val="0"/>
        </w:rPr>
      </w:pPr>
      <w:r>
        <w:rPr>
          <w:b w:val="0"/>
          <w:bCs w:val="0"/>
          <w:i w:val="0"/>
          <w:iCs w:val="0"/>
        </w:rPr>
        <w:t>2016-present</w:t>
      </w:r>
      <w:r>
        <w:rPr>
          <w:b w:val="0"/>
          <w:bCs w:val="0"/>
          <w:i w:val="0"/>
          <w:iCs w:val="0"/>
        </w:rPr>
        <w:tab/>
        <w:t>Comparison of Taqman array cards and standard realtime PCR assays in identification etiology of</w:t>
      </w:r>
      <w:r w:rsidRPr="00935446">
        <w:rPr>
          <w:b w:val="0"/>
          <w:bCs w:val="0"/>
          <w:i w:val="0"/>
          <w:iCs w:val="0"/>
        </w:rPr>
        <w:t xml:space="preserve"> </w:t>
      </w:r>
      <w:r>
        <w:rPr>
          <w:b w:val="0"/>
          <w:bCs w:val="0"/>
          <w:i w:val="0"/>
          <w:iCs w:val="0"/>
        </w:rPr>
        <w:t xml:space="preserve">acute febrile </w:t>
      </w:r>
      <w:r w:rsidRPr="00935446">
        <w:rPr>
          <w:b w:val="0"/>
          <w:bCs w:val="0"/>
          <w:i w:val="0"/>
          <w:iCs w:val="0"/>
        </w:rPr>
        <w:t>patient</w:t>
      </w:r>
      <w:r>
        <w:rPr>
          <w:b w:val="0"/>
          <w:bCs w:val="0"/>
          <w:i w:val="0"/>
          <w:iCs w:val="0"/>
        </w:rPr>
        <w:t>s using whole blood samples</w:t>
      </w:r>
      <w:r w:rsidRPr="00935446">
        <w:rPr>
          <w:b w:val="0"/>
          <w:bCs w:val="0"/>
          <w:i w:val="0"/>
          <w:iCs w:val="0"/>
        </w:rPr>
        <w:t>.</w:t>
      </w:r>
    </w:p>
    <w:p w:rsidR="008F4A6E" w:rsidRDefault="008F4A6E" w:rsidP="008F4A6E">
      <w:pPr>
        <w:pStyle w:val="BodyTextIndent2"/>
        <w:ind w:left="2160" w:hanging="1451"/>
        <w:rPr>
          <w:b w:val="0"/>
          <w:bCs w:val="0"/>
          <w:i w:val="0"/>
          <w:iCs w:val="0"/>
        </w:rPr>
      </w:pPr>
    </w:p>
    <w:p w:rsidR="008F4A6E" w:rsidRDefault="008F4A6E" w:rsidP="008F4A6E">
      <w:pPr>
        <w:pStyle w:val="BodyTextIndent2"/>
        <w:ind w:left="2160" w:hanging="1451"/>
        <w:rPr>
          <w:b w:val="0"/>
          <w:bCs w:val="0"/>
          <w:i w:val="0"/>
          <w:iCs w:val="0"/>
        </w:rPr>
      </w:pPr>
      <w:r>
        <w:rPr>
          <w:b w:val="0"/>
          <w:bCs w:val="0"/>
          <w:i w:val="0"/>
          <w:iCs w:val="0"/>
        </w:rPr>
        <w:t>2012-present</w:t>
      </w:r>
      <w:r w:rsidRPr="00935446">
        <w:rPr>
          <w:b w:val="0"/>
          <w:bCs w:val="0"/>
          <w:i w:val="0"/>
          <w:iCs w:val="0"/>
        </w:rPr>
        <w:tab/>
        <w:t>Studying population structure and genome contents in a dominant clone ST</w:t>
      </w:r>
      <w:r>
        <w:rPr>
          <w:b w:val="0"/>
          <w:bCs w:val="0"/>
          <w:i w:val="0"/>
          <w:iCs w:val="0"/>
        </w:rPr>
        <w:t xml:space="preserve"> </w:t>
      </w:r>
      <w:r w:rsidRPr="00935446">
        <w:rPr>
          <w:b w:val="0"/>
          <w:bCs w:val="0"/>
          <w:i w:val="0"/>
          <w:iCs w:val="0"/>
        </w:rPr>
        <w:t>34, which caused an outbreak of human leptospirosis during 2000-2002.</w:t>
      </w:r>
    </w:p>
    <w:p w:rsidR="008F4A6E" w:rsidRDefault="008F4A6E" w:rsidP="008F4A6E">
      <w:pPr>
        <w:pStyle w:val="BodyTextIndent2"/>
        <w:ind w:left="2160"/>
        <w:rPr>
          <w:b w:val="0"/>
          <w:bCs w:val="0"/>
          <w:i w:val="0"/>
          <w:iCs w:val="0"/>
        </w:rPr>
      </w:pPr>
    </w:p>
    <w:p w:rsidR="008F4A6E" w:rsidRDefault="008F4A6E" w:rsidP="008F4A6E">
      <w:pPr>
        <w:pStyle w:val="BodyTextIndent2"/>
        <w:ind w:left="2160"/>
        <w:rPr>
          <w:b w:val="0"/>
          <w:bCs w:val="0"/>
          <w:i w:val="0"/>
          <w:iCs w:val="0"/>
        </w:rPr>
      </w:pPr>
      <w:r w:rsidRPr="00935446">
        <w:rPr>
          <w:b w:val="0"/>
          <w:bCs w:val="0"/>
          <w:i w:val="0"/>
          <w:iCs w:val="0"/>
        </w:rPr>
        <w:t>Epide</w:t>
      </w:r>
      <w:r>
        <w:rPr>
          <w:b w:val="0"/>
          <w:bCs w:val="0"/>
          <w:i w:val="0"/>
          <w:iCs w:val="0"/>
        </w:rPr>
        <w:t xml:space="preserve">miology of melioidosis and in human, animal and environment </w:t>
      </w:r>
      <w:r w:rsidRPr="00935446">
        <w:rPr>
          <w:b w:val="0"/>
          <w:bCs w:val="0"/>
          <w:i w:val="0"/>
          <w:iCs w:val="0"/>
        </w:rPr>
        <w:t>using molecular tools such as multi-locus sequening typing</w:t>
      </w:r>
      <w:r>
        <w:rPr>
          <w:b w:val="0"/>
          <w:bCs w:val="0"/>
          <w:i w:val="0"/>
          <w:iCs w:val="0"/>
        </w:rPr>
        <w:t xml:space="preserve"> (MLST) in Thailand</w:t>
      </w:r>
    </w:p>
    <w:p w:rsidR="008F4A6E" w:rsidRDefault="008F4A6E" w:rsidP="008F4A6E">
      <w:pPr>
        <w:pStyle w:val="BodyTextIndent2"/>
        <w:ind w:left="2160"/>
        <w:rPr>
          <w:b w:val="0"/>
          <w:bCs w:val="0"/>
          <w:i w:val="0"/>
          <w:iCs w:val="0"/>
        </w:rPr>
      </w:pPr>
    </w:p>
    <w:p w:rsidR="008F4A6E" w:rsidRPr="00935446" w:rsidRDefault="008F4A6E" w:rsidP="008F4A6E">
      <w:pPr>
        <w:pStyle w:val="BodyTextIndent2"/>
        <w:ind w:left="2160"/>
        <w:rPr>
          <w:b w:val="0"/>
          <w:bCs w:val="0"/>
          <w:i w:val="0"/>
          <w:iCs w:val="0"/>
        </w:rPr>
      </w:pPr>
      <w:r>
        <w:rPr>
          <w:b w:val="0"/>
          <w:bCs w:val="0"/>
          <w:i w:val="0"/>
          <w:iCs w:val="0"/>
        </w:rPr>
        <w:t xml:space="preserve">Epidemiology of </w:t>
      </w:r>
      <w:r w:rsidRPr="00935446">
        <w:rPr>
          <w:b w:val="0"/>
          <w:bCs w:val="0"/>
          <w:i w:val="0"/>
          <w:iCs w:val="0"/>
        </w:rPr>
        <w:t xml:space="preserve">leptospirosis </w:t>
      </w:r>
      <w:r>
        <w:rPr>
          <w:b w:val="0"/>
          <w:bCs w:val="0"/>
          <w:i w:val="0"/>
          <w:iCs w:val="0"/>
        </w:rPr>
        <w:t xml:space="preserve">in human, rodents and environment using MLST and genome data in Thailand </w:t>
      </w:r>
    </w:p>
    <w:p w:rsidR="008F4A6E" w:rsidRDefault="008F4A6E" w:rsidP="008F4A6E">
      <w:pPr>
        <w:pStyle w:val="BodyTextIndent2"/>
        <w:ind w:left="0"/>
        <w:rPr>
          <w:b w:val="0"/>
          <w:bCs w:val="0"/>
          <w:i w:val="0"/>
          <w:iCs w:val="0"/>
        </w:rPr>
      </w:pPr>
    </w:p>
    <w:p w:rsidR="008F4A6E" w:rsidRDefault="008F4A6E" w:rsidP="008F4A6E">
      <w:pPr>
        <w:pStyle w:val="BodyTextIndent2"/>
        <w:ind w:left="2160" w:hanging="1451"/>
        <w:rPr>
          <w:b w:val="0"/>
          <w:bCs w:val="0"/>
          <w:i w:val="0"/>
          <w:iCs w:val="0"/>
        </w:rPr>
      </w:pPr>
      <w:r>
        <w:rPr>
          <w:b w:val="0"/>
          <w:bCs w:val="0"/>
          <w:i w:val="0"/>
          <w:iCs w:val="0"/>
        </w:rPr>
        <w:lastRenderedPageBreak/>
        <w:t>2014-2016</w:t>
      </w:r>
      <w:r w:rsidRPr="00935446">
        <w:rPr>
          <w:b w:val="0"/>
          <w:bCs w:val="0"/>
          <w:i w:val="0"/>
          <w:iCs w:val="0"/>
        </w:rPr>
        <w:tab/>
      </w:r>
      <w:r>
        <w:rPr>
          <w:b w:val="0"/>
          <w:bCs w:val="0"/>
          <w:i w:val="0"/>
          <w:iCs w:val="0"/>
        </w:rPr>
        <w:t>Using molecular assay to screening</w:t>
      </w:r>
      <w:r w:rsidRPr="00935446">
        <w:rPr>
          <w:b w:val="0"/>
          <w:bCs w:val="0"/>
          <w:i w:val="0"/>
          <w:iCs w:val="0"/>
        </w:rPr>
        <w:t xml:space="preserve"> </w:t>
      </w:r>
      <w:r>
        <w:rPr>
          <w:b w:val="0"/>
          <w:bCs w:val="0"/>
          <w:i w:val="0"/>
          <w:iCs w:val="0"/>
        </w:rPr>
        <w:t xml:space="preserve">on </w:t>
      </w:r>
      <w:r w:rsidRPr="00935446">
        <w:rPr>
          <w:b w:val="0"/>
          <w:bCs w:val="0"/>
          <w:i w:val="0"/>
          <w:iCs w:val="0"/>
        </w:rPr>
        <w:t xml:space="preserve">sepsis patient </w:t>
      </w:r>
      <w:r>
        <w:rPr>
          <w:b w:val="0"/>
          <w:bCs w:val="0"/>
          <w:i w:val="0"/>
          <w:iCs w:val="0"/>
        </w:rPr>
        <w:t>blood samples for</w:t>
      </w:r>
      <w:r w:rsidRPr="00935446">
        <w:rPr>
          <w:b w:val="0"/>
          <w:bCs w:val="0"/>
          <w:i w:val="0"/>
          <w:iCs w:val="0"/>
        </w:rPr>
        <w:t xml:space="preserve"> leptospirosis, scrub typhus, murine typhus, spotted feve</w:t>
      </w:r>
      <w:r>
        <w:rPr>
          <w:b w:val="0"/>
          <w:bCs w:val="0"/>
          <w:i w:val="0"/>
          <w:iCs w:val="0"/>
        </w:rPr>
        <w:t xml:space="preserve">r group, other common </w:t>
      </w:r>
      <w:r w:rsidRPr="00935446">
        <w:rPr>
          <w:b w:val="0"/>
          <w:bCs w:val="0"/>
          <w:i w:val="0"/>
          <w:iCs w:val="0"/>
        </w:rPr>
        <w:t>bacter</w:t>
      </w:r>
      <w:r>
        <w:rPr>
          <w:b w:val="0"/>
          <w:bCs w:val="0"/>
          <w:i w:val="0"/>
          <w:iCs w:val="0"/>
        </w:rPr>
        <w:t>aem</w:t>
      </w:r>
      <w:r w:rsidRPr="00935446">
        <w:rPr>
          <w:b w:val="0"/>
          <w:bCs w:val="0"/>
          <w:i w:val="0"/>
          <w:iCs w:val="0"/>
        </w:rPr>
        <w:t>ia</w:t>
      </w:r>
      <w:r>
        <w:rPr>
          <w:b w:val="0"/>
          <w:bCs w:val="0"/>
          <w:i w:val="0"/>
          <w:iCs w:val="0"/>
        </w:rPr>
        <w:t xml:space="preserve"> and Hantavirus infection</w:t>
      </w:r>
      <w:r w:rsidRPr="007B622E">
        <w:rPr>
          <w:b w:val="0"/>
          <w:bCs w:val="0"/>
          <w:i w:val="0"/>
          <w:iCs w:val="0"/>
        </w:rPr>
        <w:t xml:space="preserve"> </w:t>
      </w:r>
      <w:r>
        <w:rPr>
          <w:b w:val="0"/>
          <w:bCs w:val="0"/>
          <w:i w:val="0"/>
          <w:iCs w:val="0"/>
        </w:rPr>
        <w:t>as a reference lab for South Asia Infectious Disease Research Network</w:t>
      </w:r>
      <w:r w:rsidRPr="00935446">
        <w:rPr>
          <w:b w:val="0"/>
          <w:bCs w:val="0"/>
          <w:i w:val="0"/>
          <w:iCs w:val="0"/>
        </w:rPr>
        <w:t>.</w:t>
      </w:r>
    </w:p>
    <w:p w:rsidR="008F4A6E" w:rsidRDefault="008F4A6E" w:rsidP="008F4A6E">
      <w:pPr>
        <w:pStyle w:val="BodyTextIndent2"/>
        <w:ind w:left="2160" w:hanging="1451"/>
        <w:rPr>
          <w:b w:val="0"/>
          <w:bCs w:val="0"/>
          <w:i w:val="0"/>
          <w:iCs w:val="0"/>
        </w:rPr>
      </w:pPr>
    </w:p>
    <w:p w:rsidR="008F4A6E" w:rsidRPr="00935446" w:rsidRDefault="008F4A6E" w:rsidP="008F4A6E">
      <w:pPr>
        <w:pStyle w:val="BodyTextIndent2"/>
        <w:ind w:left="2160" w:hanging="1451"/>
        <w:rPr>
          <w:b w:val="0"/>
          <w:bCs w:val="0"/>
          <w:i w:val="0"/>
          <w:iCs w:val="0"/>
        </w:rPr>
      </w:pPr>
      <w:r>
        <w:rPr>
          <w:b w:val="0"/>
          <w:bCs w:val="0"/>
          <w:i w:val="0"/>
          <w:iCs w:val="0"/>
        </w:rPr>
        <w:t>2009-2015</w:t>
      </w:r>
      <w:r>
        <w:rPr>
          <w:b w:val="0"/>
          <w:bCs w:val="0"/>
          <w:i w:val="0"/>
          <w:iCs w:val="0"/>
        </w:rPr>
        <w:tab/>
      </w:r>
      <w:r w:rsidRPr="00935446">
        <w:rPr>
          <w:b w:val="0"/>
          <w:bCs w:val="0"/>
          <w:i w:val="0"/>
          <w:iCs w:val="0"/>
        </w:rPr>
        <w:t xml:space="preserve">Comparison MLST schemes for leptospirosis epidemiology </w:t>
      </w:r>
    </w:p>
    <w:p w:rsidR="008F4A6E" w:rsidRDefault="008F4A6E" w:rsidP="008F4A6E">
      <w:pPr>
        <w:pStyle w:val="BodyTextIndent2"/>
        <w:ind w:left="2160" w:hanging="1451"/>
        <w:rPr>
          <w:b w:val="0"/>
          <w:bCs w:val="0"/>
          <w:i w:val="0"/>
          <w:iCs w:val="0"/>
        </w:rPr>
      </w:pPr>
      <w:r w:rsidRPr="00935446">
        <w:rPr>
          <w:b w:val="0"/>
          <w:bCs w:val="0"/>
          <w:i w:val="0"/>
          <w:iCs w:val="0"/>
        </w:rPr>
        <w:tab/>
        <w:t xml:space="preserve">Modify the MLST scheme for three major pathogenic members of </w:t>
      </w:r>
      <w:r w:rsidRPr="007B622E">
        <w:rPr>
          <w:b w:val="0"/>
          <w:bCs w:val="0"/>
          <w:iCs w:val="0"/>
        </w:rPr>
        <w:t>Leptospira</w:t>
      </w:r>
      <w:r w:rsidRPr="00935446">
        <w:rPr>
          <w:b w:val="0"/>
          <w:bCs w:val="0"/>
          <w:i w:val="0"/>
          <w:iCs w:val="0"/>
        </w:rPr>
        <w:t xml:space="preserve"> </w:t>
      </w:r>
    </w:p>
    <w:p w:rsidR="008F4A6E" w:rsidRDefault="008F4A6E" w:rsidP="008F4A6E">
      <w:pPr>
        <w:pStyle w:val="BodyTextIndent2"/>
        <w:ind w:left="2160" w:hanging="1451"/>
        <w:rPr>
          <w:b w:val="0"/>
          <w:bCs w:val="0"/>
          <w:i w:val="0"/>
          <w:iCs w:val="0"/>
        </w:rPr>
      </w:pPr>
      <w:r>
        <w:rPr>
          <w:b w:val="0"/>
          <w:bCs w:val="0"/>
          <w:i w:val="0"/>
          <w:iCs w:val="0"/>
        </w:rPr>
        <w:tab/>
      </w:r>
    </w:p>
    <w:p w:rsidR="008F4A6E" w:rsidRPr="003D3B31" w:rsidRDefault="008F4A6E" w:rsidP="008F4A6E">
      <w:pPr>
        <w:pStyle w:val="BodyTextIndent2"/>
        <w:ind w:left="2160" w:hanging="1451"/>
        <w:rPr>
          <w:b w:val="0"/>
          <w:bCs w:val="0"/>
          <w:i w:val="0"/>
          <w:iCs w:val="0"/>
        </w:rPr>
      </w:pPr>
      <w:r>
        <w:rPr>
          <w:b w:val="0"/>
          <w:bCs w:val="0"/>
          <w:i w:val="0"/>
          <w:iCs w:val="0"/>
        </w:rPr>
        <w:tab/>
        <w:t xml:space="preserve">Clinical and Molecular Epidemiology of </w:t>
      </w:r>
      <w:r w:rsidRPr="003D3B31">
        <w:rPr>
          <w:b w:val="0"/>
          <w:bCs w:val="0"/>
          <w:iCs w:val="0"/>
        </w:rPr>
        <w:t>Staphylococcus argenteus</w:t>
      </w:r>
      <w:r>
        <w:rPr>
          <w:b w:val="0"/>
          <w:bCs w:val="0"/>
          <w:iCs w:val="0"/>
        </w:rPr>
        <w:t xml:space="preserve"> </w:t>
      </w:r>
      <w:r>
        <w:rPr>
          <w:b w:val="0"/>
          <w:bCs w:val="0"/>
          <w:i w:val="0"/>
          <w:iCs w:val="0"/>
        </w:rPr>
        <w:t>infection in Thailand</w:t>
      </w:r>
    </w:p>
    <w:p w:rsidR="008F4A6E" w:rsidRPr="00935446" w:rsidRDefault="008F4A6E" w:rsidP="008F4A6E">
      <w:pPr>
        <w:pStyle w:val="BodyTextIndent2"/>
        <w:ind w:left="2160" w:hanging="1451"/>
        <w:rPr>
          <w:b w:val="0"/>
          <w:bCs w:val="0"/>
          <w:i w:val="0"/>
          <w:iCs w:val="0"/>
        </w:rPr>
      </w:pPr>
      <w:r w:rsidRPr="00935446">
        <w:rPr>
          <w:b w:val="0"/>
          <w:bCs w:val="0"/>
          <w:i w:val="0"/>
          <w:iCs w:val="0"/>
        </w:rPr>
        <w:tab/>
      </w:r>
    </w:p>
    <w:p w:rsidR="008F4A6E" w:rsidRPr="00935446" w:rsidRDefault="008F4A6E" w:rsidP="008F4A6E">
      <w:pPr>
        <w:pStyle w:val="BodyTextIndent2"/>
        <w:ind w:left="2160" w:hanging="1451"/>
        <w:rPr>
          <w:b w:val="0"/>
          <w:bCs w:val="0"/>
          <w:i w:val="0"/>
          <w:iCs w:val="0"/>
        </w:rPr>
      </w:pPr>
      <w:r w:rsidRPr="00935446">
        <w:rPr>
          <w:b w:val="0"/>
          <w:bCs w:val="0"/>
          <w:i w:val="0"/>
          <w:iCs w:val="0"/>
        </w:rPr>
        <w:t xml:space="preserve">2008-09 </w:t>
      </w:r>
      <w:r w:rsidRPr="00935446">
        <w:rPr>
          <w:b w:val="0"/>
          <w:bCs w:val="0"/>
          <w:i w:val="0"/>
          <w:iCs w:val="0"/>
        </w:rPr>
        <w:tab/>
        <w:t xml:space="preserve">Investigation of </w:t>
      </w:r>
      <w:r w:rsidRPr="007B622E">
        <w:rPr>
          <w:b w:val="0"/>
          <w:bCs w:val="0"/>
          <w:iCs w:val="0"/>
        </w:rPr>
        <w:t xml:space="preserve">Staphylococcus aureus </w:t>
      </w:r>
      <w:r w:rsidRPr="00935446">
        <w:rPr>
          <w:b w:val="0"/>
          <w:bCs w:val="0"/>
          <w:i w:val="0"/>
          <w:iCs w:val="0"/>
        </w:rPr>
        <w:t>strains infected in patients originated in Thailand and Cambodia using Staphylococcal cassette chromosome mec (SCCmec) typing, MLST and Panton-Valentine Leukocidine (pvl) gene</w:t>
      </w:r>
    </w:p>
    <w:p w:rsidR="008F4A6E" w:rsidRDefault="008F4A6E" w:rsidP="008F4A6E">
      <w:pPr>
        <w:pStyle w:val="BodyTextIndent2"/>
        <w:ind w:left="2160" w:hanging="1451"/>
        <w:rPr>
          <w:b w:val="0"/>
          <w:bCs w:val="0"/>
          <w:i w:val="0"/>
          <w:iCs w:val="0"/>
        </w:rPr>
      </w:pPr>
      <w:r w:rsidRPr="00935446">
        <w:rPr>
          <w:b w:val="0"/>
          <w:bCs w:val="0"/>
          <w:i w:val="0"/>
          <w:iCs w:val="0"/>
        </w:rPr>
        <w:tab/>
      </w:r>
    </w:p>
    <w:p w:rsidR="008F4A6E" w:rsidRPr="00935446" w:rsidRDefault="008F4A6E" w:rsidP="008F4A6E">
      <w:pPr>
        <w:pStyle w:val="BodyTextIndent2"/>
        <w:ind w:left="2160"/>
        <w:rPr>
          <w:b w:val="0"/>
          <w:bCs w:val="0"/>
          <w:i w:val="0"/>
          <w:iCs w:val="0"/>
        </w:rPr>
      </w:pPr>
      <w:r w:rsidRPr="00935446">
        <w:rPr>
          <w:b w:val="0"/>
          <w:bCs w:val="0"/>
          <w:i w:val="0"/>
          <w:iCs w:val="0"/>
        </w:rPr>
        <w:t xml:space="preserve">Modify the MLST scheme for three major pathogenic members of Leptospira </w:t>
      </w:r>
    </w:p>
    <w:p w:rsidR="008F4A6E" w:rsidRDefault="008F4A6E" w:rsidP="008F4A6E">
      <w:pPr>
        <w:pStyle w:val="BodyTextIndent2"/>
        <w:ind w:left="2160" w:hanging="1451"/>
        <w:rPr>
          <w:b w:val="0"/>
          <w:bCs w:val="0"/>
          <w:i w:val="0"/>
          <w:iCs w:val="0"/>
        </w:rPr>
      </w:pPr>
      <w:r w:rsidRPr="00935446">
        <w:rPr>
          <w:b w:val="0"/>
          <w:bCs w:val="0"/>
          <w:i w:val="0"/>
          <w:iCs w:val="0"/>
        </w:rPr>
        <w:t xml:space="preserve">   </w:t>
      </w:r>
      <w:r w:rsidRPr="00935446">
        <w:rPr>
          <w:b w:val="0"/>
          <w:bCs w:val="0"/>
          <w:i w:val="0"/>
          <w:iCs w:val="0"/>
        </w:rPr>
        <w:tab/>
      </w:r>
    </w:p>
    <w:p w:rsidR="008F4A6E" w:rsidRPr="00935446" w:rsidRDefault="008F4A6E" w:rsidP="008F4A6E">
      <w:pPr>
        <w:pStyle w:val="BodyTextIndent2"/>
        <w:ind w:left="2160"/>
        <w:rPr>
          <w:b w:val="0"/>
          <w:bCs w:val="0"/>
          <w:i w:val="0"/>
          <w:iCs w:val="0"/>
        </w:rPr>
      </w:pPr>
      <w:r w:rsidRPr="00935446">
        <w:rPr>
          <w:b w:val="0"/>
          <w:bCs w:val="0"/>
          <w:i w:val="0"/>
          <w:iCs w:val="0"/>
        </w:rPr>
        <w:t>Evaluation two realtime PCR assays targeting 16s rRNA and LipL32 genes, respectively on clinical blood samples at endemic area.</w:t>
      </w:r>
    </w:p>
    <w:p w:rsidR="008F4A6E" w:rsidRDefault="008F4A6E" w:rsidP="008F4A6E">
      <w:pPr>
        <w:pStyle w:val="BodyTextIndent2"/>
        <w:ind w:left="2160" w:hanging="1451"/>
        <w:rPr>
          <w:b w:val="0"/>
          <w:bCs w:val="0"/>
          <w:i w:val="0"/>
          <w:iCs w:val="0"/>
        </w:rPr>
      </w:pPr>
      <w:r w:rsidRPr="00935446">
        <w:rPr>
          <w:b w:val="0"/>
          <w:bCs w:val="0"/>
          <w:i w:val="0"/>
          <w:iCs w:val="0"/>
        </w:rPr>
        <w:tab/>
      </w:r>
    </w:p>
    <w:p w:rsidR="008F4A6E" w:rsidRPr="00935446" w:rsidRDefault="008F4A6E" w:rsidP="008F4A6E">
      <w:pPr>
        <w:pStyle w:val="BodyTextIndent2"/>
        <w:ind w:left="2160"/>
        <w:rPr>
          <w:b w:val="0"/>
          <w:bCs w:val="0"/>
          <w:i w:val="0"/>
          <w:iCs w:val="0"/>
        </w:rPr>
      </w:pPr>
      <w:r w:rsidRPr="00935446">
        <w:rPr>
          <w:b w:val="0"/>
          <w:bCs w:val="0"/>
          <w:i w:val="0"/>
          <w:iCs w:val="0"/>
        </w:rPr>
        <w:t xml:space="preserve">Investigating leptospirosis in a prospective study of unknown cause of fever in patients originated in Sri Lanka  </w:t>
      </w:r>
    </w:p>
    <w:p w:rsidR="008F4A6E" w:rsidRPr="00935446" w:rsidRDefault="008F4A6E" w:rsidP="008F4A6E">
      <w:pPr>
        <w:pStyle w:val="BodyTextIndent2"/>
        <w:ind w:left="2160" w:hanging="1451"/>
        <w:rPr>
          <w:b w:val="0"/>
          <w:bCs w:val="0"/>
          <w:i w:val="0"/>
          <w:iCs w:val="0"/>
        </w:rPr>
      </w:pPr>
      <w:r w:rsidRPr="00935446">
        <w:rPr>
          <w:b w:val="0"/>
          <w:bCs w:val="0"/>
          <w:i w:val="0"/>
          <w:iCs w:val="0"/>
        </w:rPr>
        <w:tab/>
      </w:r>
    </w:p>
    <w:p w:rsidR="008F4A6E" w:rsidRPr="00935446" w:rsidRDefault="008F4A6E" w:rsidP="008F4A6E">
      <w:pPr>
        <w:pStyle w:val="BodyTextIndent2"/>
        <w:ind w:left="2160" w:hanging="1451"/>
        <w:rPr>
          <w:b w:val="0"/>
          <w:bCs w:val="0"/>
          <w:i w:val="0"/>
          <w:iCs w:val="0"/>
        </w:rPr>
      </w:pPr>
      <w:r w:rsidRPr="00935446">
        <w:rPr>
          <w:b w:val="0"/>
          <w:bCs w:val="0"/>
          <w:i w:val="0"/>
          <w:iCs w:val="0"/>
        </w:rPr>
        <w:t xml:space="preserve">2003-08 </w:t>
      </w:r>
      <w:r w:rsidRPr="00935446">
        <w:rPr>
          <w:b w:val="0"/>
          <w:bCs w:val="0"/>
          <w:i w:val="0"/>
          <w:iCs w:val="0"/>
        </w:rPr>
        <w:tab/>
        <w:t xml:space="preserve">Multilocus sequence typing of Leptospira </w:t>
      </w:r>
    </w:p>
    <w:p w:rsidR="008F4A6E" w:rsidRPr="00935446" w:rsidRDefault="008F4A6E" w:rsidP="008F4A6E">
      <w:pPr>
        <w:pStyle w:val="BodyTextIndent2"/>
        <w:ind w:left="2160" w:hanging="1451"/>
        <w:rPr>
          <w:b w:val="0"/>
          <w:bCs w:val="0"/>
          <w:i w:val="0"/>
          <w:iCs w:val="0"/>
        </w:rPr>
      </w:pPr>
      <w:r w:rsidRPr="00935446">
        <w:rPr>
          <w:b w:val="0"/>
          <w:bCs w:val="0"/>
          <w:i w:val="0"/>
          <w:iCs w:val="0"/>
        </w:rPr>
        <w:tab/>
      </w:r>
    </w:p>
    <w:p w:rsidR="008F4A6E" w:rsidRPr="00935446" w:rsidRDefault="008F4A6E" w:rsidP="008F4A6E">
      <w:pPr>
        <w:pStyle w:val="BodyTextIndent2"/>
        <w:ind w:left="2160" w:hanging="1451"/>
        <w:rPr>
          <w:b w:val="0"/>
          <w:bCs w:val="0"/>
          <w:i w:val="0"/>
          <w:iCs w:val="0"/>
        </w:rPr>
      </w:pPr>
      <w:r w:rsidRPr="00935446">
        <w:rPr>
          <w:b w:val="0"/>
          <w:bCs w:val="0"/>
          <w:i w:val="0"/>
          <w:iCs w:val="0"/>
        </w:rPr>
        <w:t xml:space="preserve">2000-03 </w:t>
      </w:r>
      <w:r w:rsidRPr="00935446">
        <w:rPr>
          <w:b w:val="0"/>
          <w:bCs w:val="0"/>
          <w:i w:val="0"/>
          <w:iCs w:val="0"/>
        </w:rPr>
        <w:tab/>
        <w:t>Papaya ring-spot virus (PRSV) gene vector for transient expression of foreign proteins in plants</w:t>
      </w:r>
    </w:p>
    <w:p w:rsidR="008F4A6E" w:rsidRPr="00935446" w:rsidRDefault="008F4A6E" w:rsidP="008F4A6E">
      <w:pPr>
        <w:pStyle w:val="BodyTextIndent2"/>
        <w:ind w:left="2160" w:hanging="1451"/>
        <w:rPr>
          <w:b w:val="0"/>
          <w:bCs w:val="0"/>
          <w:i w:val="0"/>
          <w:iCs w:val="0"/>
        </w:rPr>
      </w:pPr>
      <w:r w:rsidRPr="00935446">
        <w:rPr>
          <w:b w:val="0"/>
          <w:bCs w:val="0"/>
          <w:i w:val="0"/>
          <w:iCs w:val="0"/>
        </w:rPr>
        <w:tab/>
      </w:r>
    </w:p>
    <w:p w:rsidR="008F4A6E" w:rsidRPr="00012C0D" w:rsidRDefault="008F4A6E" w:rsidP="008F4A6E">
      <w:pPr>
        <w:pStyle w:val="BodyTextIndent2"/>
        <w:ind w:left="2160" w:hanging="1451"/>
        <w:rPr>
          <w:b w:val="0"/>
          <w:bCs w:val="0"/>
          <w:i w:val="0"/>
          <w:iCs w:val="0"/>
        </w:rPr>
      </w:pPr>
      <w:r w:rsidRPr="00935446">
        <w:rPr>
          <w:b w:val="0"/>
          <w:bCs w:val="0"/>
          <w:i w:val="0"/>
          <w:iCs w:val="0"/>
        </w:rPr>
        <w:t xml:space="preserve">1998-99 </w:t>
      </w:r>
      <w:r w:rsidRPr="00935446">
        <w:rPr>
          <w:b w:val="0"/>
          <w:bCs w:val="0"/>
          <w:i w:val="0"/>
          <w:iCs w:val="0"/>
        </w:rPr>
        <w:tab/>
        <w:t>Investigation of bacterial contamination of pork during butchering</w:t>
      </w:r>
    </w:p>
    <w:p w:rsidR="008F4A6E" w:rsidRPr="00556C65" w:rsidRDefault="008F4A6E" w:rsidP="008F4A6E">
      <w:pPr>
        <w:pStyle w:val="BodyTextIndent2"/>
        <w:ind w:left="0"/>
        <w:rPr>
          <w:b w:val="0"/>
          <w:bCs w:val="0"/>
          <w:i w:val="0"/>
          <w:iCs w:val="0"/>
        </w:rPr>
      </w:pPr>
    </w:p>
    <w:p w:rsidR="008F4A6E" w:rsidRPr="00327AA2" w:rsidRDefault="008F4A6E" w:rsidP="008F4A6E">
      <w:pPr>
        <w:pStyle w:val="BodyText"/>
        <w:spacing w:line="360" w:lineRule="auto"/>
        <w:rPr>
          <w:b/>
        </w:rPr>
      </w:pPr>
      <w:r w:rsidRPr="00327AA2">
        <w:rPr>
          <w:b/>
        </w:rPr>
        <w:t>Training</w:t>
      </w:r>
    </w:p>
    <w:p w:rsidR="008F4A6E" w:rsidRDefault="008F4A6E" w:rsidP="008F4A6E">
      <w:pPr>
        <w:ind w:left="709"/>
        <w:rPr>
          <w:color w:val="000000"/>
          <w:lang w:val="en-US"/>
        </w:rPr>
      </w:pPr>
      <w:r>
        <w:rPr>
          <w:color w:val="000000"/>
          <w:lang w:val="en-US"/>
        </w:rPr>
        <w:t>Advanced Immunology Course 2015, 22</w:t>
      </w:r>
      <w:r w:rsidRPr="00A631F6">
        <w:rPr>
          <w:color w:val="000000"/>
          <w:vertAlign w:val="superscript"/>
          <w:lang w:val="en-US"/>
        </w:rPr>
        <w:t>nd</w:t>
      </w:r>
      <w:r>
        <w:rPr>
          <w:color w:val="000000"/>
          <w:lang w:val="en-US"/>
        </w:rPr>
        <w:t xml:space="preserve"> -30</w:t>
      </w:r>
      <w:r w:rsidRPr="00A631F6">
        <w:rPr>
          <w:color w:val="000000"/>
          <w:vertAlign w:val="superscript"/>
          <w:lang w:val="en-US"/>
        </w:rPr>
        <w:t>th</w:t>
      </w:r>
      <w:r>
        <w:rPr>
          <w:color w:val="000000"/>
          <w:lang w:val="en-US"/>
        </w:rPr>
        <w:t xml:space="preserve"> June 2015, Faculty of Tropical Medicine, Mahidol University, Bangkok, Thailand</w:t>
      </w:r>
    </w:p>
    <w:p w:rsidR="008F4A6E" w:rsidRDefault="008F4A6E" w:rsidP="008F4A6E">
      <w:pPr>
        <w:ind w:left="709"/>
        <w:rPr>
          <w:color w:val="000000"/>
          <w:lang w:val="en-US"/>
        </w:rPr>
      </w:pPr>
    </w:p>
    <w:p w:rsidR="008F4A6E" w:rsidRPr="00673B95" w:rsidRDefault="008F4A6E" w:rsidP="008F4A6E">
      <w:pPr>
        <w:ind w:left="709"/>
        <w:rPr>
          <w:color w:val="000000"/>
          <w:lang w:val="en-US"/>
        </w:rPr>
      </w:pPr>
      <w:r>
        <w:rPr>
          <w:color w:val="000000"/>
          <w:lang w:val="en-US"/>
        </w:rPr>
        <w:t>A</w:t>
      </w:r>
      <w:r w:rsidRPr="00673B95">
        <w:rPr>
          <w:color w:val="000000"/>
          <w:lang w:val="en-US"/>
        </w:rPr>
        <w:t xml:space="preserve"> </w:t>
      </w:r>
      <w:r>
        <w:rPr>
          <w:color w:val="000000"/>
          <w:lang w:val="en-US"/>
        </w:rPr>
        <w:t xml:space="preserve">10 month </w:t>
      </w:r>
      <w:r w:rsidRPr="00673B95">
        <w:rPr>
          <w:color w:val="000000"/>
          <w:lang w:val="en-US"/>
        </w:rPr>
        <w:t xml:space="preserve">visitor at </w:t>
      </w:r>
      <w:proofErr w:type="spellStart"/>
      <w:r w:rsidRPr="00673B95">
        <w:rPr>
          <w:color w:val="000000"/>
          <w:lang w:val="en-US"/>
        </w:rPr>
        <w:t>Wellcome</w:t>
      </w:r>
      <w:proofErr w:type="spellEnd"/>
      <w:r w:rsidRPr="00673B95">
        <w:rPr>
          <w:color w:val="000000"/>
          <w:lang w:val="en-US"/>
        </w:rPr>
        <w:t xml:space="preserve"> Trust Sanger Institute, Cambridge University, UK with Pathogen Genome Group</w:t>
      </w:r>
      <w:r>
        <w:rPr>
          <w:color w:val="000000"/>
          <w:lang w:val="en-US"/>
        </w:rPr>
        <w:t xml:space="preserve"> on</w:t>
      </w:r>
      <w:r w:rsidRPr="00673B95">
        <w:rPr>
          <w:color w:val="000000"/>
          <w:lang w:val="en-US"/>
        </w:rPr>
        <w:t>: studying population structure and genome contents in a dominant clone ST34</w:t>
      </w:r>
      <w:r>
        <w:rPr>
          <w:color w:val="000000"/>
          <w:lang w:val="en-US"/>
        </w:rPr>
        <w:t xml:space="preserve"> during 1</w:t>
      </w:r>
      <w:r w:rsidRPr="00673B95">
        <w:rPr>
          <w:color w:val="000000"/>
          <w:vertAlign w:val="superscript"/>
          <w:lang w:val="en-US"/>
        </w:rPr>
        <w:t>st</w:t>
      </w:r>
      <w:r>
        <w:rPr>
          <w:color w:val="000000"/>
          <w:lang w:val="en-US"/>
        </w:rPr>
        <w:t xml:space="preserve"> Nov 2009 – 25</w:t>
      </w:r>
      <w:r w:rsidRPr="00673B95">
        <w:rPr>
          <w:color w:val="000000"/>
          <w:vertAlign w:val="superscript"/>
          <w:lang w:val="en-US"/>
        </w:rPr>
        <w:t>th</w:t>
      </w:r>
      <w:r>
        <w:rPr>
          <w:color w:val="000000"/>
          <w:lang w:val="en-US"/>
        </w:rPr>
        <w:t xml:space="preserve"> Sep 2010</w:t>
      </w:r>
      <w:r w:rsidRPr="00673B95">
        <w:rPr>
          <w:color w:val="000000"/>
          <w:lang w:val="en-US"/>
        </w:rPr>
        <w:t>.</w:t>
      </w:r>
    </w:p>
    <w:p w:rsidR="008F4A6E" w:rsidRDefault="008F4A6E" w:rsidP="008F4A6E">
      <w:pPr>
        <w:ind w:left="709"/>
        <w:rPr>
          <w:color w:val="000000"/>
        </w:rPr>
      </w:pPr>
    </w:p>
    <w:p w:rsidR="008F4A6E" w:rsidRPr="001175EB" w:rsidRDefault="008F4A6E" w:rsidP="008F4A6E">
      <w:pPr>
        <w:ind w:left="709"/>
        <w:rPr>
          <w:color w:val="000000"/>
        </w:rPr>
      </w:pPr>
      <w:proofErr w:type="spellStart"/>
      <w:r w:rsidRPr="001175EB">
        <w:rPr>
          <w:color w:val="000000"/>
        </w:rPr>
        <w:t>Wellcome</w:t>
      </w:r>
      <w:proofErr w:type="spellEnd"/>
      <w:r w:rsidRPr="001175EB">
        <w:rPr>
          <w:color w:val="000000"/>
        </w:rPr>
        <w:t xml:space="preserve"> Trust Advanced Course: Working with Pathogen Genomes </w:t>
      </w:r>
    </w:p>
    <w:p w:rsidR="008F4A6E" w:rsidRPr="001175EB" w:rsidRDefault="008F4A6E" w:rsidP="008F4A6E">
      <w:pPr>
        <w:ind w:left="709"/>
        <w:rPr>
          <w:color w:val="000000"/>
        </w:rPr>
      </w:pPr>
      <w:r w:rsidRPr="001175EB">
        <w:rPr>
          <w:color w:val="000000"/>
        </w:rPr>
        <w:t>10</w:t>
      </w:r>
      <w:r w:rsidRPr="001175EB">
        <w:rPr>
          <w:color w:val="000000"/>
          <w:vertAlign w:val="superscript"/>
        </w:rPr>
        <w:t>th</w:t>
      </w:r>
      <w:r w:rsidRPr="001175EB">
        <w:rPr>
          <w:color w:val="000000"/>
        </w:rPr>
        <w:t xml:space="preserve"> - 14</w:t>
      </w:r>
      <w:r w:rsidRPr="001175EB">
        <w:rPr>
          <w:color w:val="000000"/>
          <w:vertAlign w:val="superscript"/>
        </w:rPr>
        <w:t>th</w:t>
      </w:r>
      <w:r w:rsidRPr="001175EB">
        <w:rPr>
          <w:color w:val="000000"/>
        </w:rPr>
        <w:t xml:space="preserve"> November 2008, Bangkok, Thailand</w:t>
      </w:r>
    </w:p>
    <w:p w:rsidR="008F4A6E" w:rsidRDefault="008F4A6E" w:rsidP="008F4A6E">
      <w:pPr>
        <w:ind w:left="709"/>
      </w:pPr>
    </w:p>
    <w:p w:rsidR="008F4A6E" w:rsidRDefault="008F4A6E" w:rsidP="008F4A6E">
      <w:pPr>
        <w:ind w:left="709"/>
      </w:pPr>
      <w:r>
        <w:t>Genome Wide Association Analysis 2008, 14</w:t>
      </w:r>
      <w:r w:rsidRPr="001175EB">
        <w:rPr>
          <w:vertAlign w:val="superscript"/>
        </w:rPr>
        <w:t>th</w:t>
      </w:r>
      <w:r>
        <w:t>-16</w:t>
      </w:r>
      <w:r w:rsidRPr="001175EB">
        <w:rPr>
          <w:vertAlign w:val="superscript"/>
        </w:rPr>
        <w:t>th</w:t>
      </w:r>
      <w:r w:rsidRPr="001175EB">
        <w:t xml:space="preserve"> </w:t>
      </w:r>
      <w:r>
        <w:t>October 2008, Mahidol University, Thailand</w:t>
      </w:r>
    </w:p>
    <w:p w:rsidR="008F4A6E" w:rsidRDefault="008F4A6E" w:rsidP="008F4A6E">
      <w:pPr>
        <w:ind w:left="709"/>
      </w:pPr>
    </w:p>
    <w:p w:rsidR="008F4A6E" w:rsidRDefault="008F4A6E" w:rsidP="008F4A6E">
      <w:pPr>
        <w:ind w:left="709"/>
      </w:pPr>
      <w:r>
        <w:t>Programme Ethics Workshop Oxford Tropical Network, 5</w:t>
      </w:r>
      <w:r w:rsidRPr="00D634FA">
        <w:rPr>
          <w:vertAlign w:val="superscript"/>
        </w:rPr>
        <w:t>th</w:t>
      </w:r>
      <w:r w:rsidRPr="001175EB">
        <w:t xml:space="preserve"> </w:t>
      </w:r>
      <w:r>
        <w:t>June 2008, Mahidol University, Bangkok, Thailand</w:t>
      </w:r>
      <w:r w:rsidRPr="001175EB">
        <w:t xml:space="preserve"> </w:t>
      </w:r>
    </w:p>
    <w:p w:rsidR="008F4A6E" w:rsidRDefault="008F4A6E" w:rsidP="008F4A6E">
      <w:pPr>
        <w:ind w:left="709"/>
      </w:pPr>
    </w:p>
    <w:p w:rsidR="008F4A6E" w:rsidRDefault="008F4A6E" w:rsidP="008F4A6E">
      <w:pPr>
        <w:ind w:left="709"/>
      </w:pPr>
      <w:r>
        <w:t>Good Clinical Practice Training Curriculum with the Southeast Asia Influenza Clinical Research Network, 6</w:t>
      </w:r>
      <w:r w:rsidRPr="001175EB">
        <w:rPr>
          <w:vertAlign w:val="superscript"/>
        </w:rPr>
        <w:t xml:space="preserve">th </w:t>
      </w:r>
      <w:r>
        <w:t>-7</w:t>
      </w:r>
      <w:r w:rsidRPr="001175EB">
        <w:rPr>
          <w:vertAlign w:val="superscript"/>
        </w:rPr>
        <w:t>th</w:t>
      </w:r>
      <w:r>
        <w:t xml:space="preserve"> December 2006, Bangkok, Thailand</w:t>
      </w:r>
    </w:p>
    <w:p w:rsidR="008F4A6E" w:rsidRDefault="008F4A6E" w:rsidP="008F4A6E">
      <w:pPr>
        <w:ind w:left="709"/>
      </w:pPr>
    </w:p>
    <w:p w:rsidR="008F4A6E" w:rsidRDefault="008F4A6E" w:rsidP="008F4A6E">
      <w:pPr>
        <w:pStyle w:val="BodyText"/>
        <w:ind w:left="709"/>
        <w:jc w:val="left"/>
      </w:pPr>
      <w:r>
        <w:t xml:space="preserve">Training in microscopic agglutination test, </w:t>
      </w:r>
      <w:proofErr w:type="spellStart"/>
      <w:r>
        <w:t>leptospiral</w:t>
      </w:r>
      <w:proofErr w:type="spellEnd"/>
      <w:r>
        <w:t xml:space="preserve"> culture, serovar identification and cross agglutinin absorption test at the WHO/FAO/OIE Collaborating </w:t>
      </w:r>
      <w:proofErr w:type="spellStart"/>
      <w:r>
        <w:t>centre</w:t>
      </w:r>
      <w:proofErr w:type="spellEnd"/>
      <w:r>
        <w:t xml:space="preserve"> for Reference and Research on Leptospirosis, Queensland Health Pathology and Scientific Services, 1</w:t>
      </w:r>
      <w:r w:rsidRPr="001175EB">
        <w:rPr>
          <w:vertAlign w:val="superscript"/>
        </w:rPr>
        <w:t>st</w:t>
      </w:r>
      <w:r>
        <w:t xml:space="preserve"> -12</w:t>
      </w:r>
      <w:r w:rsidRPr="001175EB">
        <w:rPr>
          <w:vertAlign w:val="superscript"/>
        </w:rPr>
        <w:t>th</w:t>
      </w:r>
      <w:r>
        <w:t xml:space="preserve"> August 2005, Brisbane, Australia</w:t>
      </w:r>
    </w:p>
    <w:p w:rsidR="008F4A6E" w:rsidRPr="000F6ACA" w:rsidRDefault="008F4A6E" w:rsidP="008F4A6E">
      <w:pPr>
        <w:ind w:left="1080" w:hanging="360"/>
      </w:pPr>
    </w:p>
    <w:p w:rsidR="008F4A6E" w:rsidRDefault="008F4A6E" w:rsidP="008F4A6E">
      <w:pPr>
        <w:pStyle w:val="BodyText"/>
        <w:spacing w:line="360" w:lineRule="auto"/>
        <w:rPr>
          <w:rFonts w:cs="Times New Roman"/>
          <w:bCs/>
          <w:noProof/>
        </w:rPr>
      </w:pPr>
      <w:r>
        <w:rPr>
          <w:b/>
          <w:bCs/>
        </w:rPr>
        <w:t xml:space="preserve">First Author </w:t>
      </w:r>
      <w:r w:rsidRPr="00E22EB9">
        <w:rPr>
          <w:b/>
          <w:bCs/>
        </w:rPr>
        <w:t>Publications</w:t>
      </w:r>
      <w:r>
        <w:rPr>
          <w:b/>
          <w:bCs/>
        </w:rPr>
        <w:t xml:space="preserve"> </w:t>
      </w:r>
    </w:p>
    <w:p w:rsidR="0008138E" w:rsidRPr="0008138E" w:rsidRDefault="0008138E" w:rsidP="00DD760C">
      <w:pPr>
        <w:pStyle w:val="EndNoteBibliography"/>
        <w:numPr>
          <w:ilvl w:val="0"/>
          <w:numId w:val="12"/>
        </w:numPr>
        <w:spacing w:after="200"/>
        <w:ind w:left="851" w:hanging="567"/>
        <w:rPr>
          <w:noProof/>
        </w:rPr>
      </w:pPr>
      <w:r w:rsidRPr="0008138E">
        <w:rPr>
          <w:b/>
          <w:noProof/>
          <w:u w:val="single"/>
        </w:rPr>
        <w:t>Thaipadungpanit J</w:t>
      </w:r>
      <w:r w:rsidRPr="002F4C6A">
        <w:rPr>
          <w:b/>
          <w:noProof/>
        </w:rPr>
        <w:t xml:space="preserve">, Amornchai P, Nickerson EK, Wongsuvan G, Wuthiekanun V, Limmathurotsakul D, Peacock SJ. </w:t>
      </w:r>
      <w:r w:rsidRPr="002F4C6A">
        <w:rPr>
          <w:noProof/>
        </w:rPr>
        <w:t xml:space="preserve">2015. Clinical and molecular epidemiology of staphylococcus argenteus infections in thailand.  </w:t>
      </w:r>
      <w:r w:rsidRPr="002F4C6A">
        <w:rPr>
          <w:b/>
          <w:noProof/>
        </w:rPr>
        <w:t>53</w:t>
      </w:r>
      <w:r w:rsidRPr="002F4C6A">
        <w:rPr>
          <w:noProof/>
        </w:rPr>
        <w:t>: 1005-1008.</w:t>
      </w:r>
    </w:p>
    <w:p w:rsidR="00DD760C" w:rsidRPr="002F4C6A" w:rsidRDefault="00DD760C" w:rsidP="00DD760C">
      <w:pPr>
        <w:pStyle w:val="EndNoteBibliography"/>
        <w:numPr>
          <w:ilvl w:val="0"/>
          <w:numId w:val="12"/>
        </w:numPr>
        <w:spacing w:after="200"/>
        <w:ind w:left="851" w:hanging="567"/>
        <w:rPr>
          <w:noProof/>
        </w:rPr>
      </w:pPr>
      <w:r w:rsidRPr="00DA7397">
        <w:rPr>
          <w:b/>
          <w:noProof/>
          <w:u w:val="single"/>
        </w:rPr>
        <w:t>Thaipadungpanit J</w:t>
      </w:r>
      <w:r w:rsidRPr="002F4C6A">
        <w:rPr>
          <w:b/>
          <w:noProof/>
        </w:rPr>
        <w:t xml:space="preserve">, Chierakul W, Pattanaporkrattana W, Phoodaeng A, Wongsuvan G, Huntrakun V, Amornchai P, Chatchen S, Kitphati R, Wuthiekanun V, Day NP, Peacock SJ, Limmathurotsakul D. </w:t>
      </w:r>
      <w:r w:rsidRPr="002F4C6A">
        <w:rPr>
          <w:noProof/>
        </w:rPr>
        <w:t xml:space="preserve">2014. Burkholderia pseudomallei in water supplies, southern thailand.  </w:t>
      </w:r>
      <w:r w:rsidRPr="002F4C6A">
        <w:rPr>
          <w:b/>
          <w:noProof/>
        </w:rPr>
        <w:t>20</w:t>
      </w:r>
      <w:r w:rsidRPr="002F4C6A">
        <w:rPr>
          <w:noProof/>
        </w:rPr>
        <w:t>: 1947-1949.</w:t>
      </w:r>
    </w:p>
    <w:p w:rsidR="00DD760C" w:rsidRPr="002F4C6A" w:rsidRDefault="00DD760C" w:rsidP="00DD760C">
      <w:pPr>
        <w:pStyle w:val="EndNoteBibliography"/>
        <w:numPr>
          <w:ilvl w:val="0"/>
          <w:numId w:val="12"/>
        </w:numPr>
        <w:spacing w:after="200"/>
        <w:ind w:left="851" w:hanging="567"/>
        <w:rPr>
          <w:noProof/>
        </w:rPr>
      </w:pPr>
      <w:r w:rsidRPr="00DA7397">
        <w:rPr>
          <w:b/>
          <w:noProof/>
          <w:u w:val="single"/>
        </w:rPr>
        <w:t>Thaipadungpanit J</w:t>
      </w:r>
      <w:r w:rsidRPr="002F4C6A">
        <w:rPr>
          <w:b/>
          <w:noProof/>
        </w:rPr>
        <w:t xml:space="preserve">, Wuthiekanun V, Chantratita N, Yimsamran S, Amornchai P, Boonsilp S, Maneeboonyang W, Tharnpoophasiam P, Saiprom N, Mahakunkijcharoen Y, Day NP, Singhasivanon P, Peacock SJ, Limmathurotsakul D. </w:t>
      </w:r>
      <w:r w:rsidRPr="002F4C6A">
        <w:rPr>
          <w:noProof/>
        </w:rPr>
        <w:t xml:space="preserve">2013. Leptospira species in floodwater during the 2011 floods in the bangkok metropolitan region, thailand. Am J Trop Med Hyg </w:t>
      </w:r>
      <w:r w:rsidRPr="002F4C6A">
        <w:rPr>
          <w:b/>
          <w:noProof/>
        </w:rPr>
        <w:t>89</w:t>
      </w:r>
      <w:r w:rsidRPr="002F4C6A">
        <w:rPr>
          <w:noProof/>
        </w:rPr>
        <w:t>: 794-796.</w:t>
      </w:r>
    </w:p>
    <w:p w:rsidR="00DD760C" w:rsidRPr="002F4C6A" w:rsidRDefault="00DD760C" w:rsidP="00DD760C">
      <w:pPr>
        <w:pStyle w:val="EndNoteBibliography"/>
        <w:numPr>
          <w:ilvl w:val="0"/>
          <w:numId w:val="12"/>
        </w:numPr>
        <w:spacing w:after="200"/>
        <w:ind w:left="851" w:hanging="567"/>
        <w:rPr>
          <w:noProof/>
        </w:rPr>
      </w:pPr>
      <w:r w:rsidRPr="00DA7397">
        <w:rPr>
          <w:b/>
          <w:noProof/>
          <w:u w:val="single"/>
        </w:rPr>
        <w:t>Thaipadungpanit J</w:t>
      </w:r>
      <w:r w:rsidRPr="002F4C6A">
        <w:rPr>
          <w:b/>
          <w:noProof/>
        </w:rPr>
        <w:t>,</w:t>
      </w:r>
      <w:r>
        <w:rPr>
          <w:b/>
          <w:noProof/>
        </w:rPr>
        <w:t xml:space="preserve"> </w:t>
      </w:r>
      <w:r w:rsidRPr="002F4C6A">
        <w:rPr>
          <w:b/>
          <w:noProof/>
        </w:rPr>
        <w:t xml:space="preserve">Boonsilp S, Amornchai P, Wuthiekanun V, Bailey MS, Holden MT, Zhang C, Jiang X, Koizumi N, Taylor K, Galloway R, Hoffmaster AR, Craig S, Smythe LD, Hartskeerl RA, Day NP, Chantratita N, Feil EJ, Aanensen DM, Spratt BG, Peacock SJ. </w:t>
      </w:r>
      <w:r w:rsidRPr="002F4C6A">
        <w:rPr>
          <w:noProof/>
        </w:rPr>
        <w:t xml:space="preserve">2013. A single multilocus sequence typing (mlst) scheme for seven pathogenic leptospira species.  </w:t>
      </w:r>
      <w:r w:rsidRPr="002F4C6A">
        <w:rPr>
          <w:b/>
          <w:noProof/>
        </w:rPr>
        <w:t>7</w:t>
      </w:r>
      <w:r w:rsidRPr="002F4C6A">
        <w:rPr>
          <w:noProof/>
        </w:rPr>
        <w:t>: e1954.</w:t>
      </w:r>
    </w:p>
    <w:p w:rsidR="00DD760C" w:rsidRPr="002F4C6A" w:rsidRDefault="00DD760C" w:rsidP="00DD760C">
      <w:pPr>
        <w:pStyle w:val="EndNoteBibliography"/>
        <w:numPr>
          <w:ilvl w:val="0"/>
          <w:numId w:val="12"/>
        </w:numPr>
        <w:spacing w:after="200"/>
        <w:ind w:left="851" w:hanging="567"/>
        <w:rPr>
          <w:noProof/>
        </w:rPr>
      </w:pPr>
      <w:r w:rsidRPr="00DA7397">
        <w:rPr>
          <w:b/>
          <w:noProof/>
          <w:u w:val="single"/>
        </w:rPr>
        <w:t>Thaipadungpanit J</w:t>
      </w:r>
      <w:r w:rsidRPr="002F4C6A">
        <w:rPr>
          <w:b/>
          <w:noProof/>
        </w:rPr>
        <w:t xml:space="preserve">, Chierakul W, Wuthiekanun V, Limmathurotsakul D, Amornchai P, Boonslip S, Smythe LD, Limpaiboon R, Hoffmaster AR, Day NP, Peacock SJ. </w:t>
      </w:r>
      <w:r w:rsidRPr="002F4C6A">
        <w:rPr>
          <w:noProof/>
        </w:rPr>
        <w:t xml:space="preserve">2011. Diagnostic accuracy of real-time pcr assays targeting 16s rrna and lipl32 genes for human leptospirosis in thailand: A case-control study. PLoS One </w:t>
      </w:r>
      <w:r w:rsidRPr="002F4C6A">
        <w:rPr>
          <w:b/>
          <w:noProof/>
        </w:rPr>
        <w:t>6</w:t>
      </w:r>
      <w:r w:rsidRPr="002F4C6A">
        <w:rPr>
          <w:noProof/>
        </w:rPr>
        <w:t>: e16236.</w:t>
      </w:r>
    </w:p>
    <w:p w:rsidR="00DD760C" w:rsidRPr="002F4C6A" w:rsidRDefault="00DD760C" w:rsidP="00DD760C">
      <w:pPr>
        <w:pStyle w:val="EndNoteBibliography"/>
        <w:numPr>
          <w:ilvl w:val="0"/>
          <w:numId w:val="12"/>
        </w:numPr>
        <w:spacing w:after="200"/>
        <w:ind w:left="851" w:hanging="567"/>
        <w:rPr>
          <w:noProof/>
        </w:rPr>
      </w:pPr>
      <w:r w:rsidRPr="00DA7397">
        <w:rPr>
          <w:b/>
          <w:noProof/>
          <w:u w:val="single"/>
        </w:rPr>
        <w:t>Thaipadungpanit J</w:t>
      </w:r>
      <w:r w:rsidRPr="002F4C6A">
        <w:rPr>
          <w:b/>
          <w:noProof/>
        </w:rPr>
        <w:t>,</w:t>
      </w:r>
      <w:r>
        <w:rPr>
          <w:b/>
          <w:noProof/>
        </w:rPr>
        <w:t xml:space="preserve"> </w:t>
      </w:r>
      <w:r w:rsidRPr="002F4C6A">
        <w:rPr>
          <w:b/>
          <w:noProof/>
        </w:rPr>
        <w:t xml:space="preserve">Ahmed A, Boonsilp S, Wuthiekanun V, Nalam K, Spratt BG, Aanensen DM, Smythe LD, Ahmed N, Feil EJ, Hartskeerl RA, Peacock SJ. </w:t>
      </w:r>
      <w:r w:rsidRPr="002F4C6A">
        <w:rPr>
          <w:noProof/>
        </w:rPr>
        <w:t xml:space="preserve">2011. Comparison of two multilocus sequence based genotyping schemes for leptospira species.  </w:t>
      </w:r>
      <w:r w:rsidRPr="002F4C6A">
        <w:rPr>
          <w:b/>
          <w:noProof/>
        </w:rPr>
        <w:t>5</w:t>
      </w:r>
      <w:r w:rsidRPr="002F4C6A">
        <w:rPr>
          <w:noProof/>
        </w:rPr>
        <w:t>: e1374.</w:t>
      </w:r>
    </w:p>
    <w:p w:rsidR="00DD760C" w:rsidRDefault="00DD760C" w:rsidP="00DD760C">
      <w:pPr>
        <w:pStyle w:val="EndNoteBibliography"/>
        <w:numPr>
          <w:ilvl w:val="0"/>
          <w:numId w:val="12"/>
        </w:numPr>
        <w:spacing w:after="200"/>
        <w:ind w:left="851" w:hanging="567"/>
        <w:rPr>
          <w:noProof/>
        </w:rPr>
      </w:pPr>
      <w:r w:rsidRPr="00DA7397">
        <w:rPr>
          <w:b/>
          <w:noProof/>
          <w:u w:val="single"/>
        </w:rPr>
        <w:t>Thaipadungpanit J</w:t>
      </w:r>
      <w:r w:rsidRPr="002F4C6A">
        <w:rPr>
          <w:b/>
          <w:noProof/>
        </w:rPr>
        <w:t xml:space="preserve">, Boonsilp S, Amornchai P, Wuthiekanun V, Chierakul W, Limmathurotsakul D, Day NP, Peacock SJ. </w:t>
      </w:r>
      <w:r w:rsidRPr="002F4C6A">
        <w:rPr>
          <w:noProof/>
        </w:rPr>
        <w:t xml:space="preserve">2011. Molecular detection and speciation of pathogenic leptospira spp. In blood from patients with culture-negative leptospirosis.  </w:t>
      </w:r>
      <w:r w:rsidRPr="002F4C6A">
        <w:rPr>
          <w:b/>
          <w:noProof/>
        </w:rPr>
        <w:t>11</w:t>
      </w:r>
      <w:r w:rsidRPr="002F4C6A">
        <w:rPr>
          <w:noProof/>
        </w:rPr>
        <w:t>: 338.</w:t>
      </w:r>
    </w:p>
    <w:p w:rsidR="008F4A6E" w:rsidRDefault="00DD760C" w:rsidP="00DD760C">
      <w:pPr>
        <w:pStyle w:val="EndNoteBibliography"/>
        <w:numPr>
          <w:ilvl w:val="0"/>
          <w:numId w:val="12"/>
        </w:numPr>
        <w:spacing w:after="200"/>
        <w:ind w:left="851" w:hanging="567"/>
        <w:rPr>
          <w:noProof/>
        </w:rPr>
      </w:pPr>
      <w:r w:rsidRPr="00DD760C">
        <w:rPr>
          <w:b/>
          <w:noProof/>
          <w:u w:val="single"/>
        </w:rPr>
        <w:t>Thaipadungpanit J</w:t>
      </w:r>
      <w:r w:rsidRPr="00DD760C">
        <w:rPr>
          <w:b/>
          <w:noProof/>
        </w:rPr>
        <w:t xml:space="preserve">, Wuthiekanun V, Chierakul W, Smythe LD, Petkanchanapong W, Limpaiboon R, Apiwatanaporn A, Slack AT, Suputtamongkol Y, White NJ, Feil EJ, Day NP, Peacock SJ. </w:t>
      </w:r>
      <w:r w:rsidRPr="002F4C6A">
        <w:rPr>
          <w:noProof/>
        </w:rPr>
        <w:t xml:space="preserve">2007. A dominant clone of leptospira interrogans associated with an outbreak of human leptospirosis in thailand. PLoS Negl Trop Dis </w:t>
      </w:r>
      <w:r w:rsidRPr="00DD760C">
        <w:rPr>
          <w:b/>
          <w:noProof/>
        </w:rPr>
        <w:t>1</w:t>
      </w:r>
      <w:r w:rsidRPr="002F4C6A">
        <w:rPr>
          <w:noProof/>
        </w:rPr>
        <w:t>: e56.</w:t>
      </w:r>
    </w:p>
    <w:p w:rsidR="00DD760C" w:rsidRPr="0008138E" w:rsidRDefault="008F4A6E" w:rsidP="0008138E">
      <w:pPr>
        <w:pStyle w:val="BodyText"/>
        <w:spacing w:line="360" w:lineRule="auto"/>
        <w:jc w:val="left"/>
        <w:rPr>
          <w:rFonts w:cs="Times New Roman"/>
          <w:bCs/>
          <w:noProof/>
        </w:rPr>
      </w:pPr>
      <w:r>
        <w:rPr>
          <w:b/>
          <w:bCs/>
        </w:rPr>
        <w:t xml:space="preserve">Co-author </w:t>
      </w:r>
      <w:r w:rsidRPr="00E22EB9">
        <w:rPr>
          <w:b/>
          <w:bCs/>
        </w:rPr>
        <w:t>Publications</w:t>
      </w:r>
      <w:r>
        <w:rPr>
          <w:b/>
          <w:bCs/>
        </w:rPr>
        <w:t xml:space="preserve"> </w:t>
      </w:r>
    </w:p>
    <w:p w:rsidR="008F4A6E" w:rsidRDefault="008F4A6E" w:rsidP="0008138E">
      <w:pPr>
        <w:pStyle w:val="EndNoteBibliography"/>
        <w:numPr>
          <w:ilvl w:val="0"/>
          <w:numId w:val="13"/>
        </w:numPr>
        <w:spacing w:after="200"/>
        <w:rPr>
          <w:noProof/>
        </w:rPr>
      </w:pPr>
      <w:r w:rsidRPr="002F4C6A">
        <w:rPr>
          <w:b/>
          <w:noProof/>
        </w:rPr>
        <w:t xml:space="preserve">Southeast Asia Infectious Disease Clinical Research N. </w:t>
      </w:r>
      <w:r w:rsidRPr="002F4C6A">
        <w:rPr>
          <w:noProof/>
        </w:rPr>
        <w:t xml:space="preserve">2017. Causes and outcomes of sepsis in southeast asia: A multinational multicentre cross-sectional study.  </w:t>
      </w:r>
      <w:r w:rsidRPr="002F4C6A">
        <w:rPr>
          <w:b/>
          <w:noProof/>
        </w:rPr>
        <w:t>5</w:t>
      </w:r>
      <w:r w:rsidRPr="002F4C6A">
        <w:rPr>
          <w:noProof/>
        </w:rPr>
        <w:t>: e157-e167.</w:t>
      </w:r>
    </w:p>
    <w:p w:rsidR="009A7670" w:rsidRDefault="009A7670" w:rsidP="0008138E">
      <w:pPr>
        <w:pStyle w:val="EndNoteBibliography"/>
        <w:numPr>
          <w:ilvl w:val="0"/>
          <w:numId w:val="13"/>
        </w:numPr>
        <w:spacing w:after="200"/>
        <w:rPr>
          <w:noProof/>
        </w:rPr>
      </w:pPr>
      <w:r w:rsidRPr="002F4C6A">
        <w:rPr>
          <w:b/>
          <w:noProof/>
        </w:rPr>
        <w:t xml:space="preserve">Fouts DE, Matthias MA, Adhikarla H, Adler B, Amorim-Santos L, Berg DE, Bulach D, Buschiazzo A, Chang YF, Galloway RL, Haake DA, Haft DH, Hartskeerl R, Ko AI, Levett PN, Matsunaga J, Mechaly AE, Monk JM, Nascimento AL, Nelson KE, Palsson B, Peacock SJ, Picardeau M, Ricaldi JN, </w:t>
      </w:r>
      <w:r w:rsidRPr="00DA7397">
        <w:rPr>
          <w:b/>
          <w:noProof/>
          <w:u w:val="single"/>
        </w:rPr>
        <w:t>Thaipandungpanit J,</w:t>
      </w:r>
      <w:r w:rsidRPr="002F4C6A">
        <w:rPr>
          <w:b/>
          <w:noProof/>
        </w:rPr>
        <w:t xml:space="preserve"> Wunder EA, Jr., Yang XF, Zhang JJ, Vinetz JM. </w:t>
      </w:r>
      <w:r w:rsidRPr="002F4C6A">
        <w:rPr>
          <w:noProof/>
        </w:rPr>
        <w:t xml:space="preserve">2016. What makes a bacterial species pathogenic?:Comparative genomic analysis of the genus leptospira.  </w:t>
      </w:r>
      <w:r w:rsidRPr="002F4C6A">
        <w:rPr>
          <w:b/>
          <w:noProof/>
        </w:rPr>
        <w:t>10</w:t>
      </w:r>
      <w:r w:rsidRPr="002F4C6A">
        <w:rPr>
          <w:noProof/>
        </w:rPr>
        <w:t>: e0004403.</w:t>
      </w:r>
    </w:p>
    <w:p w:rsidR="00A402EA" w:rsidRPr="002F4C6A" w:rsidRDefault="00A402EA" w:rsidP="0008138E">
      <w:pPr>
        <w:pStyle w:val="EndNoteBibliography"/>
        <w:numPr>
          <w:ilvl w:val="0"/>
          <w:numId w:val="13"/>
        </w:numPr>
        <w:spacing w:after="200"/>
        <w:rPr>
          <w:noProof/>
        </w:rPr>
      </w:pPr>
      <w:r w:rsidRPr="002F4C6A">
        <w:rPr>
          <w:b/>
          <w:noProof/>
        </w:rPr>
        <w:t xml:space="preserve">Chantratita N, Wikraiphat C, Tandhavanant S, Wongsuvan G, Ariyaprasert P, Suntornsut P, </w:t>
      </w:r>
      <w:r w:rsidRPr="00DA7397">
        <w:rPr>
          <w:b/>
          <w:noProof/>
          <w:u w:val="single"/>
        </w:rPr>
        <w:t>Thaipadungpanit J</w:t>
      </w:r>
      <w:r w:rsidRPr="002F4C6A">
        <w:rPr>
          <w:b/>
          <w:noProof/>
        </w:rPr>
        <w:t xml:space="preserve">, Teerawattanasook N, Jutrakul Y, Srisurat N, Chaimanee P, Anukunananchai J, Phiphitaporn S, Srisamang P, Chetchotisakd P, West TE, Peacock SJ. </w:t>
      </w:r>
      <w:r w:rsidRPr="002F4C6A">
        <w:rPr>
          <w:noProof/>
        </w:rPr>
        <w:t xml:space="preserve">2016. Comparison of community-onset staphylococcus argenteus and staphylococcus aureus sepsis in thailand: A prospective multicentre observational study.  </w:t>
      </w:r>
      <w:r w:rsidRPr="002F4C6A">
        <w:rPr>
          <w:b/>
          <w:noProof/>
        </w:rPr>
        <w:t>22</w:t>
      </w:r>
      <w:r w:rsidRPr="002F4C6A">
        <w:rPr>
          <w:noProof/>
        </w:rPr>
        <w:t>: 458 e411-459.</w:t>
      </w:r>
    </w:p>
    <w:p w:rsidR="009A7670" w:rsidRDefault="00A402EA" w:rsidP="0008138E">
      <w:pPr>
        <w:pStyle w:val="EndNoteBibliography"/>
        <w:numPr>
          <w:ilvl w:val="0"/>
          <w:numId w:val="13"/>
        </w:numPr>
        <w:spacing w:after="200"/>
        <w:rPr>
          <w:noProof/>
        </w:rPr>
      </w:pPr>
      <w:r w:rsidRPr="002F4C6A">
        <w:rPr>
          <w:b/>
          <w:noProof/>
        </w:rPr>
        <w:t xml:space="preserve">Tong SY, Holden MT, Nickerson EK, Cooper BS, Koser CU, Cori A, Jombart T, Cauchemez S, Fraser C, Wuthiekanun V, </w:t>
      </w:r>
      <w:r w:rsidRPr="00DA7397">
        <w:rPr>
          <w:b/>
          <w:noProof/>
          <w:u w:val="single"/>
        </w:rPr>
        <w:t>Thaipadungpanit J</w:t>
      </w:r>
      <w:r w:rsidRPr="002F4C6A">
        <w:rPr>
          <w:b/>
          <w:noProof/>
        </w:rPr>
        <w:t xml:space="preserve">, Hongsuwan M, Day NP, Limmathurotsakul D, Parkhill J, Peacock SJ. </w:t>
      </w:r>
      <w:r w:rsidRPr="002F4C6A">
        <w:rPr>
          <w:noProof/>
        </w:rPr>
        <w:t xml:space="preserve">2015. Genome sequencing defines phylogeny and spread of methicillin-resistant staphylococcus aureus in a high transmission setting. Genome Res </w:t>
      </w:r>
      <w:r w:rsidRPr="002F4C6A">
        <w:rPr>
          <w:b/>
          <w:noProof/>
        </w:rPr>
        <w:t>25</w:t>
      </w:r>
      <w:r w:rsidRPr="002F4C6A">
        <w:rPr>
          <w:noProof/>
        </w:rPr>
        <w:t>: 111-118.</w:t>
      </w:r>
    </w:p>
    <w:p w:rsidR="00A402EA" w:rsidRPr="002F4C6A" w:rsidRDefault="00A402EA" w:rsidP="0008138E">
      <w:pPr>
        <w:pStyle w:val="EndNoteBibliography"/>
        <w:numPr>
          <w:ilvl w:val="0"/>
          <w:numId w:val="13"/>
        </w:numPr>
        <w:spacing w:after="200"/>
        <w:rPr>
          <w:noProof/>
        </w:rPr>
      </w:pPr>
      <w:r w:rsidRPr="002F4C6A">
        <w:rPr>
          <w:b/>
          <w:noProof/>
        </w:rPr>
        <w:t xml:space="preserve">Stoddard RA, Bui D, Haberling DL, Wuthiekanun V, </w:t>
      </w:r>
      <w:r w:rsidRPr="00DA7397">
        <w:rPr>
          <w:b/>
          <w:noProof/>
          <w:u w:val="single"/>
        </w:rPr>
        <w:t>Thaipadungpanit J</w:t>
      </w:r>
      <w:r w:rsidRPr="002F4C6A">
        <w:rPr>
          <w:b/>
          <w:noProof/>
        </w:rPr>
        <w:t xml:space="preserve">, Hoffmaster AR. </w:t>
      </w:r>
      <w:r w:rsidRPr="002F4C6A">
        <w:rPr>
          <w:noProof/>
        </w:rPr>
        <w:t xml:space="preserve">2014. Viability of leptospira isolates from a human outbreak in thailand in various water types, ph, and temperature conditions.  </w:t>
      </w:r>
      <w:r w:rsidRPr="002F4C6A">
        <w:rPr>
          <w:b/>
          <w:noProof/>
        </w:rPr>
        <w:t>91</w:t>
      </w:r>
      <w:r w:rsidRPr="002F4C6A">
        <w:rPr>
          <w:noProof/>
        </w:rPr>
        <w:t>: 1020-1022.</w:t>
      </w:r>
    </w:p>
    <w:p w:rsidR="00A402EA" w:rsidRDefault="00A402EA" w:rsidP="0008138E">
      <w:pPr>
        <w:pStyle w:val="EndNoteBibliography"/>
        <w:numPr>
          <w:ilvl w:val="0"/>
          <w:numId w:val="13"/>
        </w:numPr>
        <w:spacing w:after="200"/>
        <w:rPr>
          <w:noProof/>
        </w:rPr>
      </w:pPr>
      <w:r w:rsidRPr="002F4C6A">
        <w:rPr>
          <w:b/>
          <w:noProof/>
        </w:rPr>
        <w:t xml:space="preserve">Tonpitak W, Sornklien C, Chawanit M, Pavasutthipaisit S, Wuthiekanun V, Hantrakun V, Amornchai P, </w:t>
      </w:r>
      <w:r w:rsidRPr="00DA7397">
        <w:rPr>
          <w:b/>
          <w:noProof/>
          <w:u w:val="single"/>
        </w:rPr>
        <w:t>Thaipadungpanit J</w:t>
      </w:r>
      <w:r w:rsidRPr="002F4C6A">
        <w:rPr>
          <w:b/>
          <w:noProof/>
        </w:rPr>
        <w:t xml:space="preserve">, Day NP, Yingst S, Peacock SJ, Limmathurotsakul D. </w:t>
      </w:r>
      <w:r w:rsidRPr="002F4C6A">
        <w:rPr>
          <w:noProof/>
        </w:rPr>
        <w:t xml:space="preserve">2014. Fatal melioidosis in goats in bangkok, thailand.  </w:t>
      </w:r>
      <w:r w:rsidRPr="002F4C6A">
        <w:rPr>
          <w:b/>
          <w:noProof/>
        </w:rPr>
        <w:t>91</w:t>
      </w:r>
      <w:r w:rsidRPr="002F4C6A">
        <w:rPr>
          <w:noProof/>
        </w:rPr>
        <w:t>: 287-290.</w:t>
      </w:r>
    </w:p>
    <w:p w:rsidR="00A402EA" w:rsidRPr="002F4C6A" w:rsidRDefault="00A402EA" w:rsidP="0008138E">
      <w:pPr>
        <w:pStyle w:val="EndNoteBibliography"/>
        <w:numPr>
          <w:ilvl w:val="0"/>
          <w:numId w:val="13"/>
        </w:numPr>
        <w:spacing w:after="200"/>
        <w:rPr>
          <w:noProof/>
        </w:rPr>
      </w:pPr>
      <w:r w:rsidRPr="002F4C6A">
        <w:rPr>
          <w:b/>
          <w:noProof/>
        </w:rPr>
        <w:t xml:space="preserve">Chetchotisakd P, Chierakul W, Chaowagul W, Anunnatsiri S, Phimda K, Mootsikapun P, Chaisuksant S, Pilaikul J, Thinkhamrop B, Phiphitaporn S, Susaengrat W, Toondee C, Wongrattanacheewin S, Wuthiekanun V, Chantratita N, </w:t>
      </w:r>
      <w:r w:rsidRPr="00DA7397">
        <w:rPr>
          <w:b/>
          <w:noProof/>
          <w:u w:val="single"/>
        </w:rPr>
        <w:t>Thaipadungpanit J</w:t>
      </w:r>
      <w:r w:rsidRPr="002F4C6A">
        <w:rPr>
          <w:b/>
          <w:noProof/>
        </w:rPr>
        <w:t xml:space="preserve">, Day NP, Limmathurotsakul D, Peacock SJ. </w:t>
      </w:r>
      <w:r w:rsidRPr="002F4C6A">
        <w:rPr>
          <w:noProof/>
        </w:rPr>
        <w:t xml:space="preserve">2014. Trimethoprim-sulfamethoxazole versus trimethoprim-sulfamethoxazole plus doxycycline as oral eradicative treatment for melioidosis (merth): A multicentre, double-blind, non-inferiority, randomised controlled trial.  </w:t>
      </w:r>
      <w:r w:rsidRPr="002F4C6A">
        <w:rPr>
          <w:b/>
          <w:noProof/>
        </w:rPr>
        <w:t>383</w:t>
      </w:r>
      <w:r w:rsidRPr="002F4C6A">
        <w:rPr>
          <w:noProof/>
        </w:rPr>
        <w:t>: 807-814.</w:t>
      </w:r>
    </w:p>
    <w:p w:rsidR="00A402EA" w:rsidRPr="002F4C6A" w:rsidRDefault="00A402EA" w:rsidP="0008138E">
      <w:pPr>
        <w:pStyle w:val="EndNoteBibliography"/>
        <w:numPr>
          <w:ilvl w:val="0"/>
          <w:numId w:val="13"/>
        </w:numPr>
        <w:spacing w:after="200"/>
        <w:rPr>
          <w:noProof/>
        </w:rPr>
      </w:pPr>
      <w:r w:rsidRPr="002F4C6A">
        <w:rPr>
          <w:b/>
          <w:noProof/>
        </w:rPr>
        <w:t xml:space="preserve">Limmathurotsakul D, Paeyao A, Wongratanacheewin S, Saiprom N, Takpho N, </w:t>
      </w:r>
      <w:r w:rsidRPr="00DA7397">
        <w:rPr>
          <w:b/>
          <w:noProof/>
          <w:u w:val="single"/>
        </w:rPr>
        <w:t>Thaipadungpanit J</w:t>
      </w:r>
      <w:r w:rsidRPr="002F4C6A">
        <w:rPr>
          <w:b/>
          <w:noProof/>
        </w:rPr>
        <w:t xml:space="preserve">, Chantratita N, Wuthiekanun V, Day NP, Peacock SJ. </w:t>
      </w:r>
      <w:r w:rsidRPr="002F4C6A">
        <w:rPr>
          <w:noProof/>
        </w:rPr>
        <w:t>2014. Role of burkholderia pseudomallei biofilm formation and lipopolysaccharide in relapse of melioidosis. Clin Microbiol Infect.</w:t>
      </w:r>
    </w:p>
    <w:p w:rsidR="00A402EA" w:rsidRPr="002F4C6A" w:rsidRDefault="00A402EA" w:rsidP="0008138E">
      <w:pPr>
        <w:pStyle w:val="EndNoteBibliography"/>
        <w:numPr>
          <w:ilvl w:val="0"/>
          <w:numId w:val="13"/>
        </w:numPr>
        <w:spacing w:after="200"/>
        <w:rPr>
          <w:noProof/>
        </w:rPr>
      </w:pPr>
      <w:r w:rsidRPr="002F4C6A">
        <w:rPr>
          <w:b/>
          <w:noProof/>
        </w:rPr>
        <w:t xml:space="preserve">Limmathurotsakul D, Wongsuvan G, Aanensen D, Ngamwilai S, Saiprom N, Rongkard P, </w:t>
      </w:r>
      <w:r w:rsidRPr="00DA7397">
        <w:rPr>
          <w:b/>
          <w:noProof/>
          <w:u w:val="single"/>
        </w:rPr>
        <w:t>Thaipadungpanit J</w:t>
      </w:r>
      <w:r w:rsidRPr="002F4C6A">
        <w:rPr>
          <w:b/>
          <w:noProof/>
        </w:rPr>
        <w:t xml:space="preserve">, Kanoksil M, Chantratita N, Day NP, Peacock SJ. </w:t>
      </w:r>
      <w:r w:rsidRPr="002F4C6A">
        <w:rPr>
          <w:noProof/>
        </w:rPr>
        <w:t xml:space="preserve">2014. Melioidosis caused by burkholderia pseudomallei in drinking water, thailand, 2012. Emerg Infect Dis </w:t>
      </w:r>
      <w:r w:rsidRPr="002F4C6A">
        <w:rPr>
          <w:b/>
          <w:noProof/>
        </w:rPr>
        <w:t>20</w:t>
      </w:r>
      <w:r w:rsidRPr="002F4C6A">
        <w:rPr>
          <w:noProof/>
        </w:rPr>
        <w:t>: 265-268.</w:t>
      </w:r>
    </w:p>
    <w:p w:rsidR="00A402EA" w:rsidRPr="002F4C6A" w:rsidRDefault="00A402EA" w:rsidP="0008138E">
      <w:pPr>
        <w:pStyle w:val="EndNoteBibliography"/>
        <w:numPr>
          <w:ilvl w:val="0"/>
          <w:numId w:val="13"/>
        </w:numPr>
        <w:spacing w:after="200"/>
        <w:rPr>
          <w:noProof/>
        </w:rPr>
      </w:pPr>
      <w:r w:rsidRPr="002F4C6A">
        <w:rPr>
          <w:b/>
          <w:noProof/>
        </w:rPr>
        <w:t xml:space="preserve">Wuthiekanun V, Amornchai P, Paris DH, Langla S, </w:t>
      </w:r>
      <w:r w:rsidRPr="00DA7397">
        <w:rPr>
          <w:b/>
          <w:noProof/>
          <w:u w:val="single"/>
        </w:rPr>
        <w:t>Thaipadunpanit J</w:t>
      </w:r>
      <w:r w:rsidRPr="002F4C6A">
        <w:rPr>
          <w:b/>
          <w:noProof/>
        </w:rPr>
        <w:t xml:space="preserve">, Chierakul W, Smythe LD, White NJ, Day NP, Limmathurotsakul D, Peacock SJ. </w:t>
      </w:r>
      <w:r w:rsidRPr="002F4C6A">
        <w:rPr>
          <w:noProof/>
        </w:rPr>
        <w:t xml:space="preserve">2013. Rapid isolation and susceptibility testing of leptospira spp. Using a new solid medium, lvw agar.  </w:t>
      </w:r>
      <w:r w:rsidRPr="002F4C6A">
        <w:rPr>
          <w:b/>
          <w:noProof/>
        </w:rPr>
        <w:t>57</w:t>
      </w:r>
      <w:r w:rsidRPr="002F4C6A">
        <w:rPr>
          <w:noProof/>
        </w:rPr>
        <w:t>: 297-302.</w:t>
      </w:r>
    </w:p>
    <w:p w:rsidR="008E0AF5" w:rsidRPr="002F4C6A" w:rsidRDefault="008E0AF5" w:rsidP="0008138E">
      <w:pPr>
        <w:pStyle w:val="EndNoteBibliography"/>
        <w:numPr>
          <w:ilvl w:val="0"/>
          <w:numId w:val="13"/>
        </w:numPr>
        <w:spacing w:after="200"/>
        <w:rPr>
          <w:noProof/>
        </w:rPr>
      </w:pPr>
      <w:r w:rsidRPr="002F4C6A">
        <w:rPr>
          <w:b/>
          <w:noProof/>
        </w:rPr>
        <w:t xml:space="preserve">Limmathurotsakul D, Turner EL, Wuthiekanun V, </w:t>
      </w:r>
      <w:r w:rsidRPr="00DA7397">
        <w:rPr>
          <w:b/>
          <w:noProof/>
          <w:u w:val="single"/>
        </w:rPr>
        <w:t>Thaipadungpanit J</w:t>
      </w:r>
      <w:r w:rsidRPr="002F4C6A">
        <w:rPr>
          <w:b/>
          <w:noProof/>
        </w:rPr>
        <w:t xml:space="preserve">, Suputtamongkol Y, Chierakul W, Smythe LD, Day NP, Cooper B, Peacock SJ. </w:t>
      </w:r>
      <w:r w:rsidRPr="002F4C6A">
        <w:rPr>
          <w:noProof/>
        </w:rPr>
        <w:t xml:space="preserve">2012. Fool's gold: Why imperfect reference tests are undermining the evaluation of novel diagnostics: A reevaluation of 5 diagnostic tests for leptospirosis. Clin Infect Dis </w:t>
      </w:r>
      <w:r w:rsidRPr="002F4C6A">
        <w:rPr>
          <w:b/>
          <w:noProof/>
        </w:rPr>
        <w:t>55</w:t>
      </w:r>
      <w:r w:rsidRPr="002F4C6A">
        <w:rPr>
          <w:noProof/>
        </w:rPr>
        <w:t>: 322-331.</w:t>
      </w:r>
    </w:p>
    <w:p w:rsidR="008E0AF5" w:rsidRPr="002F4C6A" w:rsidRDefault="008E0AF5" w:rsidP="0008138E">
      <w:pPr>
        <w:pStyle w:val="EndNoteBibliography"/>
        <w:numPr>
          <w:ilvl w:val="0"/>
          <w:numId w:val="13"/>
        </w:numPr>
        <w:spacing w:after="200"/>
        <w:rPr>
          <w:noProof/>
        </w:rPr>
      </w:pPr>
      <w:r w:rsidRPr="002F4C6A">
        <w:rPr>
          <w:b/>
          <w:noProof/>
        </w:rPr>
        <w:t xml:space="preserve">Agampodi SB, Peacock SJ, Thevanesam V, Nugegoda DB, Smythe L, </w:t>
      </w:r>
      <w:r w:rsidRPr="00DA7397">
        <w:rPr>
          <w:b/>
          <w:noProof/>
          <w:u w:val="single"/>
        </w:rPr>
        <w:t>Thaipadungpanit J</w:t>
      </w:r>
      <w:r w:rsidRPr="002F4C6A">
        <w:rPr>
          <w:b/>
          <w:noProof/>
        </w:rPr>
        <w:t xml:space="preserve">, Craig SB, Burns MA, Dohnt M, Boonsilp S, Senaratne T, Kumara A, Palihawadana P, Perera S, Vinetz JM. </w:t>
      </w:r>
      <w:r w:rsidRPr="002F4C6A">
        <w:rPr>
          <w:noProof/>
        </w:rPr>
        <w:t xml:space="preserve">2011. Leptospirosis outbreak in sri lanka in 2008: Lessons for assessing the global burden of disease.  </w:t>
      </w:r>
      <w:r w:rsidRPr="002F4C6A">
        <w:rPr>
          <w:b/>
          <w:noProof/>
        </w:rPr>
        <w:t>85</w:t>
      </w:r>
      <w:r w:rsidRPr="002F4C6A">
        <w:rPr>
          <w:noProof/>
        </w:rPr>
        <w:t>: 471-478.</w:t>
      </w:r>
    </w:p>
    <w:p w:rsidR="008E0AF5" w:rsidRPr="002F4C6A" w:rsidRDefault="008E0AF5" w:rsidP="0008138E">
      <w:pPr>
        <w:pStyle w:val="EndNoteBibliography"/>
        <w:numPr>
          <w:ilvl w:val="0"/>
          <w:numId w:val="13"/>
        </w:numPr>
        <w:spacing w:after="200"/>
        <w:rPr>
          <w:noProof/>
        </w:rPr>
      </w:pPr>
      <w:r w:rsidRPr="002F4C6A">
        <w:rPr>
          <w:b/>
          <w:noProof/>
        </w:rPr>
        <w:t xml:space="preserve">Nickerson EK, Wuthiekanun V, Kumar V, Amornchai P, Wongdeethai N, Chheng K, Chantratita N, Putchhat H, </w:t>
      </w:r>
      <w:r w:rsidRPr="00DA7397">
        <w:rPr>
          <w:b/>
          <w:noProof/>
          <w:u w:val="single"/>
        </w:rPr>
        <w:t>Thaipadungpanit J</w:t>
      </w:r>
      <w:r w:rsidRPr="002F4C6A">
        <w:rPr>
          <w:b/>
          <w:noProof/>
        </w:rPr>
        <w:t xml:space="preserve">, Day NP, Peacock SJ. </w:t>
      </w:r>
      <w:r w:rsidRPr="002F4C6A">
        <w:rPr>
          <w:noProof/>
        </w:rPr>
        <w:t xml:space="preserve">2011. Emergence of community-associated methicillin-resistant staphylococcus aureus carriage in children in cambodia. Am J Trop Med Hyg </w:t>
      </w:r>
      <w:r w:rsidRPr="002F4C6A">
        <w:rPr>
          <w:b/>
          <w:noProof/>
        </w:rPr>
        <w:t>84</w:t>
      </w:r>
      <w:r w:rsidRPr="002F4C6A">
        <w:rPr>
          <w:noProof/>
        </w:rPr>
        <w:t>: 313-317.</w:t>
      </w:r>
    </w:p>
    <w:p w:rsidR="008E0AF5" w:rsidRPr="002F4C6A" w:rsidRDefault="008E0AF5" w:rsidP="0008138E">
      <w:pPr>
        <w:pStyle w:val="EndNoteBibliography"/>
        <w:numPr>
          <w:ilvl w:val="0"/>
          <w:numId w:val="13"/>
        </w:numPr>
        <w:spacing w:after="200"/>
        <w:rPr>
          <w:noProof/>
        </w:rPr>
      </w:pPr>
      <w:r w:rsidRPr="002F4C6A">
        <w:rPr>
          <w:b/>
          <w:noProof/>
        </w:rPr>
        <w:t xml:space="preserve">Sonthayanon P, Chierakul W, Wuthiekanun V, </w:t>
      </w:r>
      <w:r w:rsidRPr="00DA7397">
        <w:rPr>
          <w:b/>
          <w:noProof/>
          <w:u w:val="single"/>
        </w:rPr>
        <w:t>Thaipadungpanit J</w:t>
      </w:r>
      <w:r w:rsidRPr="002F4C6A">
        <w:rPr>
          <w:b/>
          <w:noProof/>
        </w:rPr>
        <w:t xml:space="preserve">, Kalambaheti T, Boonsilp S, Amornchai P, Smythe LD, Limmathurotsakul D, Day NP, Peacock SJ. </w:t>
      </w:r>
      <w:r w:rsidRPr="002F4C6A">
        <w:rPr>
          <w:noProof/>
        </w:rPr>
        <w:t xml:space="preserve">2011. Accuracy of loop-mediated isothermal amplification for diagnosis of human leptospirosis in thailand.  </w:t>
      </w:r>
      <w:r w:rsidRPr="002F4C6A">
        <w:rPr>
          <w:b/>
          <w:noProof/>
        </w:rPr>
        <w:t>84</w:t>
      </w:r>
      <w:r w:rsidRPr="002F4C6A">
        <w:rPr>
          <w:noProof/>
        </w:rPr>
        <w:t>: 614-620.</w:t>
      </w:r>
    </w:p>
    <w:p w:rsidR="008E0AF5" w:rsidRPr="002F4C6A" w:rsidRDefault="008E0AF5" w:rsidP="0008138E">
      <w:pPr>
        <w:pStyle w:val="EndNoteBibliography"/>
        <w:numPr>
          <w:ilvl w:val="0"/>
          <w:numId w:val="13"/>
        </w:numPr>
        <w:spacing w:after="200"/>
        <w:rPr>
          <w:noProof/>
        </w:rPr>
      </w:pPr>
      <w:r w:rsidRPr="002F4C6A">
        <w:rPr>
          <w:b/>
          <w:noProof/>
        </w:rPr>
        <w:t xml:space="preserve">Pagnarith Y, Kumar V, </w:t>
      </w:r>
      <w:r w:rsidRPr="00DA7397">
        <w:rPr>
          <w:b/>
          <w:noProof/>
          <w:u w:val="single"/>
        </w:rPr>
        <w:t>Thaipadungpanit J</w:t>
      </w:r>
      <w:r w:rsidRPr="002F4C6A">
        <w:rPr>
          <w:b/>
          <w:noProof/>
        </w:rPr>
        <w:t xml:space="preserve">, Wuthiekanun V, Amornchai P, Sin L, Day NP, Peacock SJ. </w:t>
      </w:r>
      <w:r w:rsidRPr="002F4C6A">
        <w:rPr>
          <w:noProof/>
        </w:rPr>
        <w:t xml:space="preserve">2010. Emergence of pediatric melioidosis in siem reap, cambodia.  </w:t>
      </w:r>
      <w:r w:rsidRPr="002F4C6A">
        <w:rPr>
          <w:b/>
          <w:noProof/>
        </w:rPr>
        <w:t>82</w:t>
      </w:r>
      <w:r w:rsidRPr="002F4C6A">
        <w:rPr>
          <w:noProof/>
        </w:rPr>
        <w:t>: 1106-1112.</w:t>
      </w:r>
    </w:p>
    <w:p w:rsidR="00A402EA" w:rsidRDefault="008E0AF5" w:rsidP="0008138E">
      <w:pPr>
        <w:pStyle w:val="EndNoteBibliography"/>
        <w:numPr>
          <w:ilvl w:val="0"/>
          <w:numId w:val="13"/>
        </w:numPr>
        <w:spacing w:after="200"/>
        <w:rPr>
          <w:noProof/>
        </w:rPr>
      </w:pPr>
      <w:r w:rsidRPr="002F4C6A">
        <w:rPr>
          <w:b/>
          <w:noProof/>
        </w:rPr>
        <w:t xml:space="preserve">Sim BM, Chantratita N, Ooi WF, Nandi T, Tewhey R, Wuthiekanun V, </w:t>
      </w:r>
      <w:r w:rsidRPr="00DA7397">
        <w:rPr>
          <w:b/>
          <w:noProof/>
          <w:u w:val="single"/>
        </w:rPr>
        <w:t>Thaipadungpanit J</w:t>
      </w:r>
      <w:r w:rsidRPr="002F4C6A">
        <w:rPr>
          <w:b/>
          <w:noProof/>
        </w:rPr>
        <w:t xml:space="preserve">, Tumapa S, Ariyaratne P, Sung WK, Sem XH, Chua HH, Ramnarayanan K, Lin CH, Liu Y, Feil EJ, Glass MB, Tan G, Peacock SJ, Tan P. </w:t>
      </w:r>
      <w:r w:rsidRPr="002F4C6A">
        <w:rPr>
          <w:noProof/>
        </w:rPr>
        <w:t xml:space="preserve">2010. Genomic acquisition of a capsular polysaccharide virulence cluster by non-pathogenic burkholderia isolates.  </w:t>
      </w:r>
      <w:r w:rsidRPr="002F4C6A">
        <w:rPr>
          <w:b/>
          <w:noProof/>
        </w:rPr>
        <w:t>11</w:t>
      </w:r>
      <w:r w:rsidRPr="002F4C6A">
        <w:rPr>
          <w:noProof/>
        </w:rPr>
        <w:t>: R89.</w:t>
      </w:r>
    </w:p>
    <w:p w:rsidR="008E0AF5" w:rsidRPr="002F4C6A" w:rsidRDefault="008E0AF5" w:rsidP="0008138E">
      <w:pPr>
        <w:pStyle w:val="EndNoteBibliography"/>
        <w:numPr>
          <w:ilvl w:val="0"/>
          <w:numId w:val="13"/>
        </w:numPr>
        <w:spacing w:after="200"/>
        <w:rPr>
          <w:noProof/>
        </w:rPr>
      </w:pPr>
      <w:r w:rsidRPr="002F4C6A">
        <w:rPr>
          <w:b/>
          <w:noProof/>
        </w:rPr>
        <w:t xml:space="preserve">Chheng K, Tarquinio S, Wuthiekanun V, Sin L, </w:t>
      </w:r>
      <w:r w:rsidRPr="00DA7397">
        <w:rPr>
          <w:b/>
          <w:noProof/>
          <w:u w:val="single"/>
        </w:rPr>
        <w:t>Thaipadungpanit J</w:t>
      </w:r>
      <w:r w:rsidRPr="002F4C6A">
        <w:rPr>
          <w:b/>
          <w:noProof/>
        </w:rPr>
        <w:t xml:space="preserve">, Amornchai P, Chanpheaktra N, Tumapa S, Putchhat H, Day NP, Peacock SJ. </w:t>
      </w:r>
      <w:r w:rsidRPr="002F4C6A">
        <w:rPr>
          <w:noProof/>
        </w:rPr>
        <w:t xml:space="preserve">2009. Emergence of community-associated methicillin-resistant staphylococcus aureus associated with pediatric infection in cambodia.  </w:t>
      </w:r>
      <w:r w:rsidRPr="002F4C6A">
        <w:rPr>
          <w:b/>
          <w:noProof/>
        </w:rPr>
        <w:t>4</w:t>
      </w:r>
      <w:r w:rsidRPr="002F4C6A">
        <w:rPr>
          <w:noProof/>
        </w:rPr>
        <w:t>: e6630.</w:t>
      </w:r>
    </w:p>
    <w:p w:rsidR="008E0AF5" w:rsidRPr="002F4C6A" w:rsidRDefault="008E0AF5" w:rsidP="0008138E">
      <w:pPr>
        <w:pStyle w:val="EndNoteBibliography"/>
        <w:numPr>
          <w:ilvl w:val="0"/>
          <w:numId w:val="13"/>
        </w:numPr>
        <w:spacing w:after="200"/>
        <w:rPr>
          <w:noProof/>
        </w:rPr>
      </w:pPr>
      <w:r w:rsidRPr="002F4C6A">
        <w:rPr>
          <w:b/>
          <w:noProof/>
        </w:rPr>
        <w:t xml:space="preserve">Nickerson EK, Wuthiekanun V, Wongsuvan G, Limmathurosakul D, Srisamang P, Mahavanakul W, </w:t>
      </w:r>
      <w:r w:rsidRPr="00DA7397">
        <w:rPr>
          <w:b/>
          <w:noProof/>
          <w:u w:val="single"/>
        </w:rPr>
        <w:t>Thaipadungpanit J</w:t>
      </w:r>
      <w:r w:rsidRPr="002F4C6A">
        <w:rPr>
          <w:b/>
          <w:noProof/>
        </w:rPr>
        <w:t xml:space="preserve">, Shah KR, Arayawichanont A, Amornchai P, Thanwisai A, Day NP, Peacock SJ. </w:t>
      </w:r>
      <w:r w:rsidRPr="002F4C6A">
        <w:rPr>
          <w:noProof/>
        </w:rPr>
        <w:t xml:space="preserve">2009. Factors predicting and reducing mortality in patients with invasive staphylococcus aureus disease in a developing country.  </w:t>
      </w:r>
      <w:r w:rsidRPr="002F4C6A">
        <w:rPr>
          <w:b/>
          <w:noProof/>
        </w:rPr>
        <w:t>4</w:t>
      </w:r>
      <w:r w:rsidRPr="002F4C6A">
        <w:rPr>
          <w:noProof/>
        </w:rPr>
        <w:t>: e6512.</w:t>
      </w:r>
    </w:p>
    <w:p w:rsidR="00567F53" w:rsidRDefault="008E0AF5" w:rsidP="0008138E">
      <w:pPr>
        <w:pStyle w:val="EndNoteBibliography"/>
        <w:numPr>
          <w:ilvl w:val="0"/>
          <w:numId w:val="13"/>
        </w:numPr>
        <w:spacing w:after="200"/>
        <w:rPr>
          <w:noProof/>
        </w:rPr>
      </w:pPr>
      <w:r w:rsidRPr="002F4C6A">
        <w:rPr>
          <w:b/>
          <w:noProof/>
        </w:rPr>
        <w:t xml:space="preserve">Wangroongsarb P, Chanket T, Gunlabun K, Long do H, Satheanmethakul P, Jetanadee S, </w:t>
      </w:r>
      <w:r w:rsidRPr="00DA7397">
        <w:rPr>
          <w:b/>
          <w:noProof/>
          <w:u w:val="single"/>
        </w:rPr>
        <w:t>Thaipadungpanit J</w:t>
      </w:r>
      <w:r w:rsidRPr="002F4C6A">
        <w:rPr>
          <w:b/>
          <w:noProof/>
        </w:rPr>
        <w:t xml:space="preserve">, Wuthiekanun V, Peacock SJ, Blacksell SD, Smythe LD, Bulach DM, Kalambaheti T. </w:t>
      </w:r>
      <w:r w:rsidRPr="002F4C6A">
        <w:rPr>
          <w:noProof/>
        </w:rPr>
        <w:t xml:space="preserve">2007. Molecular typing of leptospira spp. Based on putative o-antigen polymerase gene (wzy), the benefit over 16s rrna gene sequence. FEMS Microbiol Lett </w:t>
      </w:r>
      <w:r w:rsidRPr="002F4C6A">
        <w:rPr>
          <w:b/>
          <w:noProof/>
        </w:rPr>
        <w:t>271</w:t>
      </w:r>
      <w:r w:rsidRPr="002F4C6A">
        <w:rPr>
          <w:noProof/>
        </w:rPr>
        <w:t>: 170-179.</w:t>
      </w:r>
    </w:p>
    <w:sectPr w:rsidR="00567F53" w:rsidSect="008F4A6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rdia New">
    <w:panose1 w:val="020B0300020202020204"/>
    <w:charset w:val="00"/>
    <w:family w:val="auto"/>
    <w:pitch w:val="variable"/>
    <w:sig w:usb0="A10002FF" w:usb1="5000204A" w:usb2="00000020" w:usb3="00000000" w:csb0="00010097"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48AC"/>
    <w:multiLevelType w:val="hybridMultilevel"/>
    <w:tmpl w:val="6A165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851BF"/>
    <w:multiLevelType w:val="hybridMultilevel"/>
    <w:tmpl w:val="829E44D2"/>
    <w:lvl w:ilvl="0" w:tplc="BD2CBF90">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83A77"/>
    <w:multiLevelType w:val="hybridMultilevel"/>
    <w:tmpl w:val="62D04DAC"/>
    <w:lvl w:ilvl="0" w:tplc="379A69DC">
      <w:start w:val="1"/>
      <w:numFmt w:val="bullet"/>
      <w:lvlText w:val=""/>
      <w:lvlJc w:val="left"/>
      <w:pPr>
        <w:tabs>
          <w:tab w:val="num" w:pos="720"/>
        </w:tabs>
        <w:ind w:left="720" w:hanging="360"/>
      </w:pPr>
      <w:rPr>
        <w:rFonts w:ascii="Symbol" w:hAnsi="Symbol" w:hint="default"/>
        <w:sz w:val="20"/>
      </w:rPr>
    </w:lvl>
    <w:lvl w:ilvl="1" w:tplc="BC72F596" w:tentative="1">
      <w:start w:val="1"/>
      <w:numFmt w:val="bullet"/>
      <w:lvlText w:val="o"/>
      <w:lvlJc w:val="left"/>
      <w:pPr>
        <w:tabs>
          <w:tab w:val="num" w:pos="1440"/>
        </w:tabs>
        <w:ind w:left="1440" w:hanging="360"/>
      </w:pPr>
      <w:rPr>
        <w:rFonts w:ascii="Courier New" w:hAnsi="Courier New" w:hint="default"/>
        <w:sz w:val="20"/>
      </w:rPr>
    </w:lvl>
    <w:lvl w:ilvl="2" w:tplc="4490DC28" w:tentative="1">
      <w:start w:val="1"/>
      <w:numFmt w:val="bullet"/>
      <w:lvlText w:val=""/>
      <w:lvlJc w:val="left"/>
      <w:pPr>
        <w:tabs>
          <w:tab w:val="num" w:pos="2160"/>
        </w:tabs>
        <w:ind w:left="2160" w:hanging="360"/>
      </w:pPr>
      <w:rPr>
        <w:rFonts w:ascii="Wingdings" w:hAnsi="Wingdings" w:hint="default"/>
        <w:sz w:val="20"/>
      </w:rPr>
    </w:lvl>
    <w:lvl w:ilvl="3" w:tplc="AD0C4D7C" w:tentative="1">
      <w:start w:val="1"/>
      <w:numFmt w:val="bullet"/>
      <w:lvlText w:val=""/>
      <w:lvlJc w:val="left"/>
      <w:pPr>
        <w:tabs>
          <w:tab w:val="num" w:pos="2880"/>
        </w:tabs>
        <w:ind w:left="2880" w:hanging="360"/>
      </w:pPr>
      <w:rPr>
        <w:rFonts w:ascii="Wingdings" w:hAnsi="Wingdings" w:hint="default"/>
        <w:sz w:val="20"/>
      </w:rPr>
    </w:lvl>
    <w:lvl w:ilvl="4" w:tplc="F2DC9766" w:tentative="1">
      <w:start w:val="1"/>
      <w:numFmt w:val="bullet"/>
      <w:lvlText w:val=""/>
      <w:lvlJc w:val="left"/>
      <w:pPr>
        <w:tabs>
          <w:tab w:val="num" w:pos="3600"/>
        </w:tabs>
        <w:ind w:left="3600" w:hanging="360"/>
      </w:pPr>
      <w:rPr>
        <w:rFonts w:ascii="Wingdings" w:hAnsi="Wingdings" w:hint="default"/>
        <w:sz w:val="20"/>
      </w:rPr>
    </w:lvl>
    <w:lvl w:ilvl="5" w:tplc="8BC0AA66" w:tentative="1">
      <w:start w:val="1"/>
      <w:numFmt w:val="bullet"/>
      <w:lvlText w:val=""/>
      <w:lvlJc w:val="left"/>
      <w:pPr>
        <w:tabs>
          <w:tab w:val="num" w:pos="4320"/>
        </w:tabs>
        <w:ind w:left="4320" w:hanging="360"/>
      </w:pPr>
      <w:rPr>
        <w:rFonts w:ascii="Wingdings" w:hAnsi="Wingdings" w:hint="default"/>
        <w:sz w:val="20"/>
      </w:rPr>
    </w:lvl>
    <w:lvl w:ilvl="6" w:tplc="9B4AECBE" w:tentative="1">
      <w:start w:val="1"/>
      <w:numFmt w:val="bullet"/>
      <w:lvlText w:val=""/>
      <w:lvlJc w:val="left"/>
      <w:pPr>
        <w:tabs>
          <w:tab w:val="num" w:pos="5040"/>
        </w:tabs>
        <w:ind w:left="5040" w:hanging="360"/>
      </w:pPr>
      <w:rPr>
        <w:rFonts w:ascii="Wingdings" w:hAnsi="Wingdings" w:hint="default"/>
        <w:sz w:val="20"/>
      </w:rPr>
    </w:lvl>
    <w:lvl w:ilvl="7" w:tplc="B6EE4510" w:tentative="1">
      <w:start w:val="1"/>
      <w:numFmt w:val="bullet"/>
      <w:lvlText w:val=""/>
      <w:lvlJc w:val="left"/>
      <w:pPr>
        <w:tabs>
          <w:tab w:val="num" w:pos="5760"/>
        </w:tabs>
        <w:ind w:left="5760" w:hanging="360"/>
      </w:pPr>
      <w:rPr>
        <w:rFonts w:ascii="Wingdings" w:hAnsi="Wingdings" w:hint="default"/>
        <w:sz w:val="20"/>
      </w:rPr>
    </w:lvl>
    <w:lvl w:ilvl="8" w:tplc="CF04860A" w:tentative="1">
      <w:start w:val="1"/>
      <w:numFmt w:val="bullet"/>
      <w:lvlText w:val=""/>
      <w:lvlJc w:val="left"/>
      <w:pPr>
        <w:tabs>
          <w:tab w:val="num" w:pos="6480"/>
        </w:tabs>
        <w:ind w:left="6480" w:hanging="360"/>
      </w:pPr>
      <w:rPr>
        <w:rFonts w:ascii="Wingdings" w:hAnsi="Wingdings" w:hint="default"/>
        <w:sz w:val="20"/>
      </w:rPr>
    </w:lvl>
  </w:abstractNum>
  <w:abstractNum w:abstractNumId="3">
    <w:nsid w:val="0DCC1056"/>
    <w:multiLevelType w:val="hybridMultilevel"/>
    <w:tmpl w:val="C3760F6E"/>
    <w:lvl w:ilvl="0" w:tplc="58CC2156">
      <w:start w:val="1"/>
      <w:numFmt w:val="decimal"/>
      <w:pStyle w:val="EndNoteBibliography"/>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FA13540"/>
    <w:multiLevelType w:val="hybridMultilevel"/>
    <w:tmpl w:val="83E6827C"/>
    <w:lvl w:ilvl="0" w:tplc="BA0C0B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438DB"/>
    <w:multiLevelType w:val="hybridMultilevel"/>
    <w:tmpl w:val="F486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F120A5"/>
    <w:multiLevelType w:val="hybridMultilevel"/>
    <w:tmpl w:val="2FDECD6A"/>
    <w:lvl w:ilvl="0" w:tplc="BA0C0B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81D2D85"/>
    <w:multiLevelType w:val="hybridMultilevel"/>
    <w:tmpl w:val="0D2A5DAC"/>
    <w:lvl w:ilvl="0" w:tplc="0409000F">
      <w:start w:val="1"/>
      <w:numFmt w:val="decimal"/>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8">
    <w:nsid w:val="363C51AE"/>
    <w:multiLevelType w:val="hybridMultilevel"/>
    <w:tmpl w:val="F572B7D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475D01BD"/>
    <w:multiLevelType w:val="hybridMultilevel"/>
    <w:tmpl w:val="9DE4A078"/>
    <w:lvl w:ilvl="0" w:tplc="8DB00332">
      <w:start w:val="1"/>
      <w:numFmt w:val="bullet"/>
      <w:lvlText w:val=""/>
      <w:lvlJc w:val="left"/>
      <w:pPr>
        <w:tabs>
          <w:tab w:val="num" w:pos="720"/>
        </w:tabs>
        <w:ind w:left="720" w:hanging="360"/>
      </w:pPr>
      <w:rPr>
        <w:rFonts w:ascii="Symbol" w:hAnsi="Symbol" w:hint="default"/>
        <w:sz w:val="20"/>
      </w:rPr>
    </w:lvl>
    <w:lvl w:ilvl="1" w:tplc="E0166A3C" w:tentative="1">
      <w:start w:val="1"/>
      <w:numFmt w:val="bullet"/>
      <w:lvlText w:val="o"/>
      <w:lvlJc w:val="left"/>
      <w:pPr>
        <w:tabs>
          <w:tab w:val="num" w:pos="1440"/>
        </w:tabs>
        <w:ind w:left="1440" w:hanging="360"/>
      </w:pPr>
      <w:rPr>
        <w:rFonts w:ascii="Courier New" w:hAnsi="Courier New" w:hint="default"/>
        <w:sz w:val="20"/>
      </w:rPr>
    </w:lvl>
    <w:lvl w:ilvl="2" w:tplc="178A5D50" w:tentative="1">
      <w:start w:val="1"/>
      <w:numFmt w:val="bullet"/>
      <w:lvlText w:val=""/>
      <w:lvlJc w:val="left"/>
      <w:pPr>
        <w:tabs>
          <w:tab w:val="num" w:pos="2160"/>
        </w:tabs>
        <w:ind w:left="2160" w:hanging="360"/>
      </w:pPr>
      <w:rPr>
        <w:rFonts w:ascii="Wingdings" w:hAnsi="Wingdings" w:hint="default"/>
        <w:sz w:val="20"/>
      </w:rPr>
    </w:lvl>
    <w:lvl w:ilvl="3" w:tplc="1E700250" w:tentative="1">
      <w:start w:val="1"/>
      <w:numFmt w:val="bullet"/>
      <w:lvlText w:val=""/>
      <w:lvlJc w:val="left"/>
      <w:pPr>
        <w:tabs>
          <w:tab w:val="num" w:pos="2880"/>
        </w:tabs>
        <w:ind w:left="2880" w:hanging="360"/>
      </w:pPr>
      <w:rPr>
        <w:rFonts w:ascii="Wingdings" w:hAnsi="Wingdings" w:hint="default"/>
        <w:sz w:val="20"/>
      </w:rPr>
    </w:lvl>
    <w:lvl w:ilvl="4" w:tplc="2740502E" w:tentative="1">
      <w:start w:val="1"/>
      <w:numFmt w:val="bullet"/>
      <w:lvlText w:val=""/>
      <w:lvlJc w:val="left"/>
      <w:pPr>
        <w:tabs>
          <w:tab w:val="num" w:pos="3600"/>
        </w:tabs>
        <w:ind w:left="3600" w:hanging="360"/>
      </w:pPr>
      <w:rPr>
        <w:rFonts w:ascii="Wingdings" w:hAnsi="Wingdings" w:hint="default"/>
        <w:sz w:val="20"/>
      </w:rPr>
    </w:lvl>
    <w:lvl w:ilvl="5" w:tplc="4694F9AA" w:tentative="1">
      <w:start w:val="1"/>
      <w:numFmt w:val="bullet"/>
      <w:lvlText w:val=""/>
      <w:lvlJc w:val="left"/>
      <w:pPr>
        <w:tabs>
          <w:tab w:val="num" w:pos="4320"/>
        </w:tabs>
        <w:ind w:left="4320" w:hanging="360"/>
      </w:pPr>
      <w:rPr>
        <w:rFonts w:ascii="Wingdings" w:hAnsi="Wingdings" w:hint="default"/>
        <w:sz w:val="20"/>
      </w:rPr>
    </w:lvl>
    <w:lvl w:ilvl="6" w:tplc="78AE5022" w:tentative="1">
      <w:start w:val="1"/>
      <w:numFmt w:val="bullet"/>
      <w:lvlText w:val=""/>
      <w:lvlJc w:val="left"/>
      <w:pPr>
        <w:tabs>
          <w:tab w:val="num" w:pos="5040"/>
        </w:tabs>
        <w:ind w:left="5040" w:hanging="360"/>
      </w:pPr>
      <w:rPr>
        <w:rFonts w:ascii="Wingdings" w:hAnsi="Wingdings" w:hint="default"/>
        <w:sz w:val="20"/>
      </w:rPr>
    </w:lvl>
    <w:lvl w:ilvl="7" w:tplc="96629294" w:tentative="1">
      <w:start w:val="1"/>
      <w:numFmt w:val="bullet"/>
      <w:lvlText w:val=""/>
      <w:lvlJc w:val="left"/>
      <w:pPr>
        <w:tabs>
          <w:tab w:val="num" w:pos="5760"/>
        </w:tabs>
        <w:ind w:left="5760" w:hanging="360"/>
      </w:pPr>
      <w:rPr>
        <w:rFonts w:ascii="Wingdings" w:hAnsi="Wingdings" w:hint="default"/>
        <w:sz w:val="20"/>
      </w:rPr>
    </w:lvl>
    <w:lvl w:ilvl="8" w:tplc="D046C432"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1D0532"/>
    <w:multiLevelType w:val="hybridMultilevel"/>
    <w:tmpl w:val="9D506DDE"/>
    <w:lvl w:ilvl="0" w:tplc="BFDAB0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8726370"/>
    <w:multiLevelType w:val="hybridMultilevel"/>
    <w:tmpl w:val="FB2E9BC8"/>
    <w:lvl w:ilvl="0" w:tplc="BD2CBF9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EDA4AAD"/>
    <w:multiLevelType w:val="hybridMultilevel"/>
    <w:tmpl w:val="3F10DC5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
  </w:num>
  <w:num w:numId="2">
    <w:abstractNumId w:val="9"/>
  </w:num>
  <w:num w:numId="3">
    <w:abstractNumId w:val="7"/>
  </w:num>
  <w:num w:numId="4">
    <w:abstractNumId w:val="5"/>
  </w:num>
  <w:num w:numId="5">
    <w:abstractNumId w:val="1"/>
  </w:num>
  <w:num w:numId="6">
    <w:abstractNumId w:val="11"/>
  </w:num>
  <w:num w:numId="7">
    <w:abstractNumId w:val="0"/>
  </w:num>
  <w:num w:numId="8">
    <w:abstractNumId w:val="4"/>
  </w:num>
  <w:num w:numId="9">
    <w:abstractNumId w:val="12"/>
  </w:num>
  <w:num w:numId="10">
    <w:abstractNumId w:val="3"/>
  </w:num>
  <w:num w:numId="11">
    <w:abstractNumId w:val="8"/>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F4A6E"/>
    <w:rsid w:val="0008138E"/>
    <w:rsid w:val="00414968"/>
    <w:rsid w:val="00567F53"/>
    <w:rsid w:val="008E0AF5"/>
    <w:rsid w:val="008F4A6E"/>
    <w:rsid w:val="009A7670"/>
    <w:rsid w:val="009D4103"/>
    <w:rsid w:val="00A402EA"/>
    <w:rsid w:val="00B55DCF"/>
    <w:rsid w:val="00CD26EC"/>
    <w:rsid w:val="00DA7397"/>
    <w:rsid w:val="00DD760C"/>
    <w:rsid w:val="00E446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C6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A6E"/>
    <w:rPr>
      <w:rFonts w:ascii="Times New Roman" w:eastAsia="Times New Roman" w:hAnsi="Times New Roman" w:cs="Times"/>
      <w:lang w:val="en-GB"/>
    </w:rPr>
  </w:style>
  <w:style w:type="paragraph" w:styleId="Heading1">
    <w:name w:val="heading 1"/>
    <w:basedOn w:val="Normal"/>
    <w:next w:val="Normal"/>
    <w:link w:val="Heading1Char"/>
    <w:qFormat/>
    <w:rsid w:val="008F4A6E"/>
    <w:pPr>
      <w:keepNext/>
      <w:spacing w:before="240" w:after="60"/>
      <w:outlineLvl w:val="0"/>
    </w:pPr>
    <w:rPr>
      <w:rFonts w:ascii="Arial" w:hAnsi="Arial" w:cs="Cordia New"/>
      <w:b/>
      <w:bCs/>
      <w:kern w:val="32"/>
      <w:sz w:val="32"/>
      <w:szCs w:val="37"/>
    </w:rPr>
  </w:style>
  <w:style w:type="paragraph" w:styleId="Heading2">
    <w:name w:val="heading 2"/>
    <w:basedOn w:val="Normal"/>
    <w:next w:val="Normal"/>
    <w:link w:val="Heading2Char"/>
    <w:qFormat/>
    <w:rsid w:val="008F4A6E"/>
    <w:pPr>
      <w:keepNext/>
      <w:spacing w:before="240" w:after="60"/>
      <w:outlineLvl w:val="1"/>
    </w:pPr>
    <w:rPr>
      <w:rFonts w:ascii="Arial" w:hAnsi="Arial" w:cs="Cordia New"/>
      <w:b/>
      <w:bCs/>
      <w:i/>
      <w:iCs/>
      <w:sz w:val="28"/>
      <w:szCs w:val="32"/>
    </w:rPr>
  </w:style>
  <w:style w:type="paragraph" w:styleId="Heading4">
    <w:name w:val="heading 4"/>
    <w:basedOn w:val="Normal"/>
    <w:next w:val="Normal"/>
    <w:link w:val="Heading4Char"/>
    <w:qFormat/>
    <w:rsid w:val="008F4A6E"/>
    <w:pPr>
      <w:keepNext/>
      <w:spacing w:before="240" w:after="60"/>
      <w:outlineLvl w:val="3"/>
    </w:pPr>
    <w:rPr>
      <w:b/>
      <w:bCs/>
      <w:sz w:val="28"/>
      <w:szCs w:val="32"/>
    </w:rPr>
  </w:style>
  <w:style w:type="paragraph" w:styleId="Heading5">
    <w:name w:val="heading 5"/>
    <w:basedOn w:val="Normal"/>
    <w:link w:val="Heading5Char"/>
    <w:qFormat/>
    <w:rsid w:val="008F4A6E"/>
    <w:pPr>
      <w:spacing w:before="100" w:beforeAutospacing="1" w:after="100" w:afterAutospacing="1"/>
      <w:outlineLvl w:val="4"/>
    </w:pPr>
    <w:rPr>
      <w:rFonts w:ascii="Arial Unicode MS" w:eastAsia="Arial Unicode MS" w:hAnsi="Arial Unicode MS" w:cs="Arial Unicode MS"/>
      <w:b/>
      <w:bCs/>
      <w:sz w:val="20"/>
      <w:szCs w:val="20"/>
      <w:lang w:val="en-US"/>
    </w:rPr>
  </w:style>
  <w:style w:type="character" w:default="1" w:styleId="DefaultParagraphFont">
    <w:name w:val="Default Paragraph Font"/>
    <w:semiHidden/>
    <w:rsid w:val="008F4A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8F4A6E"/>
  </w:style>
  <w:style w:type="paragraph" w:customStyle="1" w:styleId="Manuscript">
    <w:name w:val="Manuscript"/>
    <w:next w:val="Heading2"/>
    <w:autoRedefine/>
    <w:qFormat/>
    <w:rsid w:val="00414968"/>
    <w:pPr>
      <w:spacing w:before="200" w:line="480" w:lineRule="auto"/>
    </w:pPr>
    <w:rPr>
      <w:rFonts w:ascii="Times New Roman" w:eastAsia="Times New Roman" w:hAnsi="Times New Roman" w:cs="Times New Roman"/>
      <w:kern w:val="32"/>
    </w:rPr>
  </w:style>
  <w:style w:type="character" w:customStyle="1" w:styleId="Heading1Char">
    <w:name w:val="Heading 1 Char"/>
    <w:basedOn w:val="DefaultParagraphFont"/>
    <w:link w:val="Heading1"/>
    <w:rsid w:val="00414968"/>
    <w:rPr>
      <w:rFonts w:ascii="Arial" w:eastAsia="Times New Roman" w:hAnsi="Arial" w:cs="Cordia New"/>
      <w:b/>
      <w:bCs/>
      <w:kern w:val="32"/>
      <w:sz w:val="32"/>
      <w:szCs w:val="37"/>
      <w:lang w:val="en-GB"/>
    </w:rPr>
  </w:style>
  <w:style w:type="character" w:customStyle="1" w:styleId="Heading2Char">
    <w:name w:val="Heading 2 Char"/>
    <w:basedOn w:val="DefaultParagraphFont"/>
    <w:link w:val="Heading2"/>
    <w:rsid w:val="00414968"/>
    <w:rPr>
      <w:rFonts w:ascii="Arial" w:eastAsia="Times New Roman" w:hAnsi="Arial" w:cs="Cordia New"/>
      <w:b/>
      <w:bCs/>
      <w:i/>
      <w:iCs/>
      <w:sz w:val="28"/>
      <w:szCs w:val="32"/>
      <w:lang w:val="en-GB"/>
    </w:rPr>
  </w:style>
  <w:style w:type="character" w:customStyle="1" w:styleId="Heading4Char">
    <w:name w:val="Heading 4 Char"/>
    <w:basedOn w:val="DefaultParagraphFont"/>
    <w:link w:val="Heading4"/>
    <w:rsid w:val="008F4A6E"/>
    <w:rPr>
      <w:rFonts w:ascii="Times New Roman" w:eastAsia="Times New Roman" w:hAnsi="Times New Roman" w:cs="Times"/>
      <w:b/>
      <w:bCs/>
      <w:sz w:val="28"/>
      <w:szCs w:val="32"/>
      <w:lang w:val="en-GB"/>
    </w:rPr>
  </w:style>
  <w:style w:type="character" w:customStyle="1" w:styleId="Heading5Char">
    <w:name w:val="Heading 5 Char"/>
    <w:basedOn w:val="DefaultParagraphFont"/>
    <w:link w:val="Heading5"/>
    <w:rsid w:val="008F4A6E"/>
    <w:rPr>
      <w:rFonts w:ascii="Arial Unicode MS" w:eastAsia="Arial Unicode MS" w:hAnsi="Arial Unicode MS" w:cs="Arial Unicode MS"/>
      <w:b/>
      <w:bCs/>
      <w:sz w:val="20"/>
      <w:szCs w:val="20"/>
    </w:rPr>
  </w:style>
  <w:style w:type="paragraph" w:styleId="NormalWeb">
    <w:name w:val="Normal (Web)"/>
    <w:basedOn w:val="Normal"/>
    <w:rsid w:val="008F4A6E"/>
    <w:pPr>
      <w:spacing w:before="100" w:beforeAutospacing="1" w:after="100" w:afterAutospacing="1"/>
    </w:pPr>
    <w:rPr>
      <w:rFonts w:ascii="Arial Unicode MS" w:eastAsia="Arial Unicode MS" w:hAnsi="Arial Unicode MS" w:cs="Arial Unicode MS"/>
      <w:lang w:val="en-US"/>
    </w:rPr>
  </w:style>
  <w:style w:type="character" w:customStyle="1" w:styleId="t">
    <w:name w:val="t"/>
    <w:basedOn w:val="DefaultParagraphFont"/>
    <w:rsid w:val="008F4A6E"/>
  </w:style>
  <w:style w:type="character" w:customStyle="1" w:styleId="d">
    <w:name w:val="d"/>
    <w:basedOn w:val="DefaultParagraphFont"/>
    <w:rsid w:val="008F4A6E"/>
  </w:style>
  <w:style w:type="character" w:customStyle="1" w:styleId="u">
    <w:name w:val="u"/>
    <w:basedOn w:val="DefaultParagraphFont"/>
    <w:rsid w:val="008F4A6E"/>
  </w:style>
  <w:style w:type="character" w:styleId="Hyperlink">
    <w:name w:val="Hyperlink"/>
    <w:rsid w:val="008F4A6E"/>
    <w:rPr>
      <w:color w:val="0000FF"/>
      <w:u w:val="single"/>
    </w:rPr>
  </w:style>
  <w:style w:type="paragraph" w:styleId="BodyText">
    <w:name w:val="Body Text"/>
    <w:basedOn w:val="Normal"/>
    <w:link w:val="BodyTextChar"/>
    <w:rsid w:val="008F4A6E"/>
    <w:pPr>
      <w:jc w:val="both"/>
    </w:pPr>
    <w:rPr>
      <w:rFonts w:eastAsia="Cordia New"/>
      <w:szCs w:val="20"/>
      <w:lang w:val="en-US"/>
    </w:rPr>
  </w:style>
  <w:style w:type="character" w:customStyle="1" w:styleId="BodyTextChar">
    <w:name w:val="Body Text Char"/>
    <w:basedOn w:val="DefaultParagraphFont"/>
    <w:link w:val="BodyText"/>
    <w:rsid w:val="008F4A6E"/>
    <w:rPr>
      <w:rFonts w:ascii="Times New Roman" w:eastAsia="Cordia New" w:hAnsi="Times New Roman" w:cs="Times"/>
      <w:szCs w:val="20"/>
    </w:rPr>
  </w:style>
  <w:style w:type="paragraph" w:styleId="Footer">
    <w:name w:val="footer"/>
    <w:basedOn w:val="Normal"/>
    <w:link w:val="FooterChar"/>
    <w:rsid w:val="008F4A6E"/>
    <w:pPr>
      <w:tabs>
        <w:tab w:val="center" w:pos="4153"/>
        <w:tab w:val="right" w:pos="8306"/>
      </w:tabs>
    </w:pPr>
    <w:rPr>
      <w:rFonts w:ascii="Cordia New" w:eastAsia="Cordia New" w:hAnsi="Cordia New"/>
      <w:noProof/>
      <w:sz w:val="28"/>
      <w:szCs w:val="20"/>
      <w:lang w:val="en-US"/>
    </w:rPr>
  </w:style>
  <w:style w:type="character" w:customStyle="1" w:styleId="FooterChar">
    <w:name w:val="Footer Char"/>
    <w:basedOn w:val="DefaultParagraphFont"/>
    <w:link w:val="Footer"/>
    <w:rsid w:val="008F4A6E"/>
    <w:rPr>
      <w:rFonts w:ascii="Cordia New" w:eastAsia="Cordia New" w:hAnsi="Cordia New" w:cs="Times"/>
      <w:noProof/>
      <w:sz w:val="28"/>
      <w:szCs w:val="20"/>
    </w:rPr>
  </w:style>
  <w:style w:type="paragraph" w:styleId="Title">
    <w:name w:val="Title"/>
    <w:basedOn w:val="Normal"/>
    <w:link w:val="TitleChar"/>
    <w:qFormat/>
    <w:rsid w:val="008F4A6E"/>
    <w:pPr>
      <w:jc w:val="center"/>
    </w:pPr>
    <w:rPr>
      <w:rFonts w:eastAsia="Cordia New"/>
      <w:b/>
      <w:szCs w:val="20"/>
      <w:lang w:val="en-US"/>
    </w:rPr>
  </w:style>
  <w:style w:type="character" w:customStyle="1" w:styleId="TitleChar">
    <w:name w:val="Title Char"/>
    <w:basedOn w:val="DefaultParagraphFont"/>
    <w:link w:val="Title"/>
    <w:rsid w:val="008F4A6E"/>
    <w:rPr>
      <w:rFonts w:ascii="Times New Roman" w:eastAsia="Cordia New" w:hAnsi="Times New Roman" w:cs="Times"/>
      <w:b/>
      <w:szCs w:val="20"/>
    </w:rPr>
  </w:style>
  <w:style w:type="paragraph" w:styleId="BodyTextIndent2">
    <w:name w:val="Body Text Indent 2"/>
    <w:basedOn w:val="Normal"/>
    <w:link w:val="BodyTextIndent2Char"/>
    <w:rsid w:val="008F4A6E"/>
    <w:pPr>
      <w:ind w:left="1069"/>
    </w:pPr>
    <w:rPr>
      <w:rFonts w:eastAsia="Cordia New"/>
      <w:b/>
      <w:bCs/>
      <w:i/>
      <w:iCs/>
      <w:noProof/>
      <w:kern w:val="28"/>
      <w:lang w:val="en-US"/>
    </w:rPr>
  </w:style>
  <w:style w:type="character" w:customStyle="1" w:styleId="BodyTextIndent2Char">
    <w:name w:val="Body Text Indent 2 Char"/>
    <w:basedOn w:val="DefaultParagraphFont"/>
    <w:link w:val="BodyTextIndent2"/>
    <w:rsid w:val="008F4A6E"/>
    <w:rPr>
      <w:rFonts w:ascii="Times New Roman" w:eastAsia="Cordia New" w:hAnsi="Times New Roman" w:cs="Times"/>
      <w:b/>
      <w:bCs/>
      <w:i/>
      <w:iCs/>
      <w:noProof/>
      <w:kern w:val="28"/>
    </w:rPr>
  </w:style>
  <w:style w:type="paragraph" w:customStyle="1" w:styleId="title0">
    <w:name w:val="title"/>
    <w:basedOn w:val="Normal"/>
    <w:rsid w:val="008F4A6E"/>
    <w:pPr>
      <w:spacing w:before="100" w:beforeAutospacing="1" w:after="100" w:afterAutospacing="1"/>
    </w:pPr>
    <w:rPr>
      <w:rFonts w:ascii="Tahoma" w:hAnsi="Tahoma" w:cs="Tahoma"/>
      <w:lang w:val="en-US" w:bidi="th-TH"/>
    </w:rPr>
  </w:style>
  <w:style w:type="paragraph" w:customStyle="1" w:styleId="authors">
    <w:name w:val="authors"/>
    <w:basedOn w:val="Normal"/>
    <w:rsid w:val="008F4A6E"/>
    <w:pPr>
      <w:spacing w:before="100" w:beforeAutospacing="1" w:after="100" w:afterAutospacing="1"/>
    </w:pPr>
    <w:rPr>
      <w:rFonts w:ascii="Tahoma" w:hAnsi="Tahoma" w:cs="Tahoma"/>
      <w:lang w:val="en-US" w:bidi="th-TH"/>
    </w:rPr>
  </w:style>
  <w:style w:type="paragraph" w:customStyle="1" w:styleId="source">
    <w:name w:val="source"/>
    <w:basedOn w:val="Normal"/>
    <w:rsid w:val="008F4A6E"/>
    <w:pPr>
      <w:spacing w:before="100" w:beforeAutospacing="1" w:after="100" w:afterAutospacing="1"/>
    </w:pPr>
    <w:rPr>
      <w:rFonts w:ascii="Tahoma" w:hAnsi="Tahoma" w:cs="Tahoma"/>
      <w:lang w:val="en-US" w:bidi="th-TH"/>
    </w:rPr>
  </w:style>
  <w:style w:type="character" w:customStyle="1" w:styleId="journalname">
    <w:name w:val="journalname"/>
    <w:basedOn w:val="DefaultParagraphFont"/>
    <w:rsid w:val="008F4A6E"/>
  </w:style>
  <w:style w:type="paragraph" w:customStyle="1" w:styleId="pmid">
    <w:name w:val="pmid"/>
    <w:basedOn w:val="Normal"/>
    <w:rsid w:val="008F4A6E"/>
    <w:pPr>
      <w:spacing w:before="100" w:beforeAutospacing="1" w:after="100" w:afterAutospacing="1"/>
    </w:pPr>
    <w:rPr>
      <w:rFonts w:ascii="Tahoma" w:hAnsi="Tahoma" w:cs="Tahoma"/>
      <w:lang w:val="en-US" w:bidi="th-TH"/>
    </w:rPr>
  </w:style>
  <w:style w:type="paragraph" w:customStyle="1" w:styleId="links">
    <w:name w:val="links"/>
    <w:basedOn w:val="Normal"/>
    <w:rsid w:val="008F4A6E"/>
    <w:pPr>
      <w:spacing w:before="100" w:beforeAutospacing="1" w:after="100" w:afterAutospacing="1"/>
    </w:pPr>
    <w:rPr>
      <w:rFonts w:ascii="Tahoma" w:hAnsi="Tahoma" w:cs="Tahoma"/>
      <w:lang w:val="en-US" w:bidi="th-TH"/>
    </w:rPr>
  </w:style>
  <w:style w:type="character" w:styleId="FollowedHyperlink">
    <w:name w:val="FollowedHyperlink"/>
    <w:rsid w:val="008F4A6E"/>
    <w:rPr>
      <w:color w:val="800080"/>
      <w:u w:val="single"/>
    </w:rPr>
  </w:style>
  <w:style w:type="paragraph" w:customStyle="1" w:styleId="EndNoteBibliographyTitle">
    <w:name w:val="EndNote Bibliography Title"/>
    <w:basedOn w:val="Normal"/>
    <w:rsid w:val="008F4A6E"/>
    <w:pPr>
      <w:jc w:val="center"/>
    </w:pPr>
    <w:rPr>
      <w:rFonts w:cs="Times New Roman"/>
      <w:lang w:val="en-US"/>
    </w:rPr>
  </w:style>
  <w:style w:type="paragraph" w:customStyle="1" w:styleId="EndNoteBibliography">
    <w:name w:val="EndNote Bibliography"/>
    <w:basedOn w:val="Normal"/>
    <w:rsid w:val="008F4A6E"/>
    <w:pPr>
      <w:numPr>
        <w:numId w:val="10"/>
      </w:numPr>
      <w:ind w:left="0" w:firstLine="0"/>
    </w:pPr>
    <w:rPr>
      <w:rFonts w:cs="Times New Roman"/>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A6E"/>
    <w:rPr>
      <w:rFonts w:ascii="Times New Roman" w:eastAsia="Times New Roman" w:hAnsi="Times New Roman" w:cs="Times"/>
      <w:lang w:val="en-GB"/>
    </w:rPr>
  </w:style>
  <w:style w:type="paragraph" w:styleId="Heading1">
    <w:name w:val="heading 1"/>
    <w:basedOn w:val="Normal"/>
    <w:next w:val="Normal"/>
    <w:link w:val="Heading1Char"/>
    <w:qFormat/>
    <w:rsid w:val="008F4A6E"/>
    <w:pPr>
      <w:keepNext/>
      <w:spacing w:before="240" w:after="60"/>
      <w:outlineLvl w:val="0"/>
    </w:pPr>
    <w:rPr>
      <w:rFonts w:ascii="Arial" w:hAnsi="Arial" w:cs="Cordia New"/>
      <w:b/>
      <w:bCs/>
      <w:kern w:val="32"/>
      <w:sz w:val="32"/>
      <w:szCs w:val="37"/>
    </w:rPr>
  </w:style>
  <w:style w:type="paragraph" w:styleId="Heading2">
    <w:name w:val="heading 2"/>
    <w:basedOn w:val="Normal"/>
    <w:next w:val="Normal"/>
    <w:link w:val="Heading2Char"/>
    <w:qFormat/>
    <w:rsid w:val="008F4A6E"/>
    <w:pPr>
      <w:keepNext/>
      <w:spacing w:before="240" w:after="60"/>
      <w:outlineLvl w:val="1"/>
    </w:pPr>
    <w:rPr>
      <w:rFonts w:ascii="Arial" w:hAnsi="Arial" w:cs="Cordia New"/>
      <w:b/>
      <w:bCs/>
      <w:i/>
      <w:iCs/>
      <w:sz w:val="28"/>
      <w:szCs w:val="32"/>
    </w:rPr>
  </w:style>
  <w:style w:type="paragraph" w:styleId="Heading4">
    <w:name w:val="heading 4"/>
    <w:basedOn w:val="Normal"/>
    <w:next w:val="Normal"/>
    <w:link w:val="Heading4Char"/>
    <w:qFormat/>
    <w:rsid w:val="008F4A6E"/>
    <w:pPr>
      <w:keepNext/>
      <w:spacing w:before="240" w:after="60"/>
      <w:outlineLvl w:val="3"/>
    </w:pPr>
    <w:rPr>
      <w:b/>
      <w:bCs/>
      <w:sz w:val="28"/>
      <w:szCs w:val="32"/>
    </w:rPr>
  </w:style>
  <w:style w:type="paragraph" w:styleId="Heading5">
    <w:name w:val="heading 5"/>
    <w:basedOn w:val="Normal"/>
    <w:link w:val="Heading5Char"/>
    <w:qFormat/>
    <w:rsid w:val="008F4A6E"/>
    <w:pPr>
      <w:spacing w:before="100" w:beforeAutospacing="1" w:after="100" w:afterAutospacing="1"/>
      <w:outlineLvl w:val="4"/>
    </w:pPr>
    <w:rPr>
      <w:rFonts w:ascii="Arial Unicode MS" w:eastAsia="Arial Unicode MS" w:hAnsi="Arial Unicode MS" w:cs="Arial Unicode MS"/>
      <w:b/>
      <w:bCs/>
      <w:sz w:val="20"/>
      <w:szCs w:val="20"/>
      <w:lang w:val="en-US"/>
    </w:rPr>
  </w:style>
  <w:style w:type="character" w:default="1" w:styleId="DefaultParagraphFont">
    <w:name w:val="Default Paragraph Font"/>
    <w:semiHidden/>
    <w:rsid w:val="008F4A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8F4A6E"/>
  </w:style>
  <w:style w:type="paragraph" w:customStyle="1" w:styleId="Manuscript">
    <w:name w:val="Manuscript"/>
    <w:next w:val="Heading2"/>
    <w:autoRedefine/>
    <w:qFormat/>
    <w:rsid w:val="00414968"/>
    <w:pPr>
      <w:spacing w:before="200" w:line="480" w:lineRule="auto"/>
    </w:pPr>
    <w:rPr>
      <w:rFonts w:ascii="Times New Roman" w:eastAsia="Times New Roman" w:hAnsi="Times New Roman" w:cs="Times New Roman"/>
      <w:kern w:val="32"/>
    </w:rPr>
  </w:style>
  <w:style w:type="character" w:customStyle="1" w:styleId="Heading1Char">
    <w:name w:val="Heading 1 Char"/>
    <w:basedOn w:val="DefaultParagraphFont"/>
    <w:link w:val="Heading1"/>
    <w:rsid w:val="00414968"/>
    <w:rPr>
      <w:rFonts w:ascii="Arial" w:eastAsia="Times New Roman" w:hAnsi="Arial" w:cs="Cordia New"/>
      <w:b/>
      <w:bCs/>
      <w:kern w:val="32"/>
      <w:sz w:val="32"/>
      <w:szCs w:val="37"/>
      <w:lang w:val="en-GB"/>
    </w:rPr>
  </w:style>
  <w:style w:type="character" w:customStyle="1" w:styleId="Heading2Char">
    <w:name w:val="Heading 2 Char"/>
    <w:basedOn w:val="DefaultParagraphFont"/>
    <w:link w:val="Heading2"/>
    <w:rsid w:val="00414968"/>
    <w:rPr>
      <w:rFonts w:ascii="Arial" w:eastAsia="Times New Roman" w:hAnsi="Arial" w:cs="Cordia New"/>
      <w:b/>
      <w:bCs/>
      <w:i/>
      <w:iCs/>
      <w:sz w:val="28"/>
      <w:szCs w:val="32"/>
      <w:lang w:val="en-GB"/>
    </w:rPr>
  </w:style>
  <w:style w:type="character" w:customStyle="1" w:styleId="Heading4Char">
    <w:name w:val="Heading 4 Char"/>
    <w:basedOn w:val="DefaultParagraphFont"/>
    <w:link w:val="Heading4"/>
    <w:rsid w:val="008F4A6E"/>
    <w:rPr>
      <w:rFonts w:ascii="Times New Roman" w:eastAsia="Times New Roman" w:hAnsi="Times New Roman" w:cs="Times"/>
      <w:b/>
      <w:bCs/>
      <w:sz w:val="28"/>
      <w:szCs w:val="32"/>
      <w:lang w:val="en-GB"/>
    </w:rPr>
  </w:style>
  <w:style w:type="character" w:customStyle="1" w:styleId="Heading5Char">
    <w:name w:val="Heading 5 Char"/>
    <w:basedOn w:val="DefaultParagraphFont"/>
    <w:link w:val="Heading5"/>
    <w:rsid w:val="008F4A6E"/>
    <w:rPr>
      <w:rFonts w:ascii="Arial Unicode MS" w:eastAsia="Arial Unicode MS" w:hAnsi="Arial Unicode MS" w:cs="Arial Unicode MS"/>
      <w:b/>
      <w:bCs/>
      <w:sz w:val="20"/>
      <w:szCs w:val="20"/>
    </w:rPr>
  </w:style>
  <w:style w:type="paragraph" w:styleId="NormalWeb">
    <w:name w:val="Normal (Web)"/>
    <w:basedOn w:val="Normal"/>
    <w:rsid w:val="008F4A6E"/>
    <w:pPr>
      <w:spacing w:before="100" w:beforeAutospacing="1" w:after="100" w:afterAutospacing="1"/>
    </w:pPr>
    <w:rPr>
      <w:rFonts w:ascii="Arial Unicode MS" w:eastAsia="Arial Unicode MS" w:hAnsi="Arial Unicode MS" w:cs="Arial Unicode MS"/>
      <w:lang w:val="en-US"/>
    </w:rPr>
  </w:style>
  <w:style w:type="character" w:customStyle="1" w:styleId="t">
    <w:name w:val="t"/>
    <w:basedOn w:val="DefaultParagraphFont"/>
    <w:rsid w:val="008F4A6E"/>
  </w:style>
  <w:style w:type="character" w:customStyle="1" w:styleId="d">
    <w:name w:val="d"/>
    <w:basedOn w:val="DefaultParagraphFont"/>
    <w:rsid w:val="008F4A6E"/>
  </w:style>
  <w:style w:type="character" w:customStyle="1" w:styleId="u">
    <w:name w:val="u"/>
    <w:basedOn w:val="DefaultParagraphFont"/>
    <w:rsid w:val="008F4A6E"/>
  </w:style>
  <w:style w:type="character" w:styleId="Hyperlink">
    <w:name w:val="Hyperlink"/>
    <w:rsid w:val="008F4A6E"/>
    <w:rPr>
      <w:color w:val="0000FF"/>
      <w:u w:val="single"/>
    </w:rPr>
  </w:style>
  <w:style w:type="paragraph" w:styleId="BodyText">
    <w:name w:val="Body Text"/>
    <w:basedOn w:val="Normal"/>
    <w:link w:val="BodyTextChar"/>
    <w:rsid w:val="008F4A6E"/>
    <w:pPr>
      <w:jc w:val="both"/>
    </w:pPr>
    <w:rPr>
      <w:rFonts w:eastAsia="Cordia New"/>
      <w:szCs w:val="20"/>
      <w:lang w:val="en-US"/>
    </w:rPr>
  </w:style>
  <w:style w:type="character" w:customStyle="1" w:styleId="BodyTextChar">
    <w:name w:val="Body Text Char"/>
    <w:basedOn w:val="DefaultParagraphFont"/>
    <w:link w:val="BodyText"/>
    <w:rsid w:val="008F4A6E"/>
    <w:rPr>
      <w:rFonts w:ascii="Times New Roman" w:eastAsia="Cordia New" w:hAnsi="Times New Roman" w:cs="Times"/>
      <w:szCs w:val="20"/>
    </w:rPr>
  </w:style>
  <w:style w:type="paragraph" w:styleId="Footer">
    <w:name w:val="footer"/>
    <w:basedOn w:val="Normal"/>
    <w:link w:val="FooterChar"/>
    <w:rsid w:val="008F4A6E"/>
    <w:pPr>
      <w:tabs>
        <w:tab w:val="center" w:pos="4153"/>
        <w:tab w:val="right" w:pos="8306"/>
      </w:tabs>
    </w:pPr>
    <w:rPr>
      <w:rFonts w:ascii="Cordia New" w:eastAsia="Cordia New" w:hAnsi="Cordia New"/>
      <w:noProof/>
      <w:sz w:val="28"/>
      <w:szCs w:val="20"/>
      <w:lang w:val="en-US"/>
    </w:rPr>
  </w:style>
  <w:style w:type="character" w:customStyle="1" w:styleId="FooterChar">
    <w:name w:val="Footer Char"/>
    <w:basedOn w:val="DefaultParagraphFont"/>
    <w:link w:val="Footer"/>
    <w:rsid w:val="008F4A6E"/>
    <w:rPr>
      <w:rFonts w:ascii="Cordia New" w:eastAsia="Cordia New" w:hAnsi="Cordia New" w:cs="Times"/>
      <w:noProof/>
      <w:sz w:val="28"/>
      <w:szCs w:val="20"/>
    </w:rPr>
  </w:style>
  <w:style w:type="paragraph" w:styleId="Title">
    <w:name w:val="Title"/>
    <w:basedOn w:val="Normal"/>
    <w:link w:val="TitleChar"/>
    <w:qFormat/>
    <w:rsid w:val="008F4A6E"/>
    <w:pPr>
      <w:jc w:val="center"/>
    </w:pPr>
    <w:rPr>
      <w:rFonts w:eastAsia="Cordia New"/>
      <w:b/>
      <w:szCs w:val="20"/>
      <w:lang w:val="en-US"/>
    </w:rPr>
  </w:style>
  <w:style w:type="character" w:customStyle="1" w:styleId="TitleChar">
    <w:name w:val="Title Char"/>
    <w:basedOn w:val="DefaultParagraphFont"/>
    <w:link w:val="Title"/>
    <w:rsid w:val="008F4A6E"/>
    <w:rPr>
      <w:rFonts w:ascii="Times New Roman" w:eastAsia="Cordia New" w:hAnsi="Times New Roman" w:cs="Times"/>
      <w:b/>
      <w:szCs w:val="20"/>
    </w:rPr>
  </w:style>
  <w:style w:type="paragraph" w:styleId="BodyTextIndent2">
    <w:name w:val="Body Text Indent 2"/>
    <w:basedOn w:val="Normal"/>
    <w:link w:val="BodyTextIndent2Char"/>
    <w:rsid w:val="008F4A6E"/>
    <w:pPr>
      <w:ind w:left="1069"/>
    </w:pPr>
    <w:rPr>
      <w:rFonts w:eastAsia="Cordia New"/>
      <w:b/>
      <w:bCs/>
      <w:i/>
      <w:iCs/>
      <w:noProof/>
      <w:kern w:val="28"/>
      <w:lang w:val="en-US"/>
    </w:rPr>
  </w:style>
  <w:style w:type="character" w:customStyle="1" w:styleId="BodyTextIndent2Char">
    <w:name w:val="Body Text Indent 2 Char"/>
    <w:basedOn w:val="DefaultParagraphFont"/>
    <w:link w:val="BodyTextIndent2"/>
    <w:rsid w:val="008F4A6E"/>
    <w:rPr>
      <w:rFonts w:ascii="Times New Roman" w:eastAsia="Cordia New" w:hAnsi="Times New Roman" w:cs="Times"/>
      <w:b/>
      <w:bCs/>
      <w:i/>
      <w:iCs/>
      <w:noProof/>
      <w:kern w:val="28"/>
    </w:rPr>
  </w:style>
  <w:style w:type="paragraph" w:customStyle="1" w:styleId="title0">
    <w:name w:val="title"/>
    <w:basedOn w:val="Normal"/>
    <w:rsid w:val="008F4A6E"/>
    <w:pPr>
      <w:spacing w:before="100" w:beforeAutospacing="1" w:after="100" w:afterAutospacing="1"/>
    </w:pPr>
    <w:rPr>
      <w:rFonts w:ascii="Tahoma" w:hAnsi="Tahoma" w:cs="Tahoma"/>
      <w:lang w:val="en-US" w:bidi="th-TH"/>
    </w:rPr>
  </w:style>
  <w:style w:type="paragraph" w:customStyle="1" w:styleId="authors">
    <w:name w:val="authors"/>
    <w:basedOn w:val="Normal"/>
    <w:rsid w:val="008F4A6E"/>
    <w:pPr>
      <w:spacing w:before="100" w:beforeAutospacing="1" w:after="100" w:afterAutospacing="1"/>
    </w:pPr>
    <w:rPr>
      <w:rFonts w:ascii="Tahoma" w:hAnsi="Tahoma" w:cs="Tahoma"/>
      <w:lang w:val="en-US" w:bidi="th-TH"/>
    </w:rPr>
  </w:style>
  <w:style w:type="paragraph" w:customStyle="1" w:styleId="source">
    <w:name w:val="source"/>
    <w:basedOn w:val="Normal"/>
    <w:rsid w:val="008F4A6E"/>
    <w:pPr>
      <w:spacing w:before="100" w:beforeAutospacing="1" w:after="100" w:afterAutospacing="1"/>
    </w:pPr>
    <w:rPr>
      <w:rFonts w:ascii="Tahoma" w:hAnsi="Tahoma" w:cs="Tahoma"/>
      <w:lang w:val="en-US" w:bidi="th-TH"/>
    </w:rPr>
  </w:style>
  <w:style w:type="character" w:customStyle="1" w:styleId="journalname">
    <w:name w:val="journalname"/>
    <w:basedOn w:val="DefaultParagraphFont"/>
    <w:rsid w:val="008F4A6E"/>
  </w:style>
  <w:style w:type="paragraph" w:customStyle="1" w:styleId="pmid">
    <w:name w:val="pmid"/>
    <w:basedOn w:val="Normal"/>
    <w:rsid w:val="008F4A6E"/>
    <w:pPr>
      <w:spacing w:before="100" w:beforeAutospacing="1" w:after="100" w:afterAutospacing="1"/>
    </w:pPr>
    <w:rPr>
      <w:rFonts w:ascii="Tahoma" w:hAnsi="Tahoma" w:cs="Tahoma"/>
      <w:lang w:val="en-US" w:bidi="th-TH"/>
    </w:rPr>
  </w:style>
  <w:style w:type="paragraph" w:customStyle="1" w:styleId="links">
    <w:name w:val="links"/>
    <w:basedOn w:val="Normal"/>
    <w:rsid w:val="008F4A6E"/>
    <w:pPr>
      <w:spacing w:before="100" w:beforeAutospacing="1" w:after="100" w:afterAutospacing="1"/>
    </w:pPr>
    <w:rPr>
      <w:rFonts w:ascii="Tahoma" w:hAnsi="Tahoma" w:cs="Tahoma"/>
      <w:lang w:val="en-US" w:bidi="th-TH"/>
    </w:rPr>
  </w:style>
  <w:style w:type="character" w:styleId="FollowedHyperlink">
    <w:name w:val="FollowedHyperlink"/>
    <w:rsid w:val="008F4A6E"/>
    <w:rPr>
      <w:color w:val="800080"/>
      <w:u w:val="single"/>
    </w:rPr>
  </w:style>
  <w:style w:type="paragraph" w:customStyle="1" w:styleId="EndNoteBibliographyTitle">
    <w:name w:val="EndNote Bibliography Title"/>
    <w:basedOn w:val="Normal"/>
    <w:rsid w:val="008F4A6E"/>
    <w:pPr>
      <w:jc w:val="center"/>
    </w:pPr>
    <w:rPr>
      <w:rFonts w:cs="Times New Roman"/>
      <w:lang w:val="en-US"/>
    </w:rPr>
  </w:style>
  <w:style w:type="paragraph" w:customStyle="1" w:styleId="EndNoteBibliography">
    <w:name w:val="EndNote Bibliography"/>
    <w:basedOn w:val="Normal"/>
    <w:rsid w:val="008F4A6E"/>
    <w:pPr>
      <w:numPr>
        <w:numId w:val="10"/>
      </w:numPr>
      <w:ind w:left="0" w:firstLine="0"/>
    </w:pPr>
    <w:rPr>
      <w:rFont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1776</Words>
  <Characters>10127</Characters>
  <Application>Microsoft Macintosh Word</Application>
  <DocSecurity>0</DocSecurity>
  <Lines>84</Lines>
  <Paragraphs>23</Paragraphs>
  <ScaleCrop>false</ScaleCrop>
  <Company>MORU-BKK</Company>
  <LinksUpToDate>false</LinksUpToDate>
  <CharactersWithSpaces>11880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Janjira Thaipadungpani</dc:creator>
  <cp:keywords/>
  <dc:description/>
  <cp:lastModifiedBy>Janjira Thaipadungpani</cp:lastModifiedBy>
  <cp:revision>2</cp:revision>
  <dcterms:created xsi:type="dcterms:W3CDTF">2017-03-01T07:27:00Z</dcterms:created>
  <dcterms:modified xsi:type="dcterms:W3CDTF">2017-03-01T07:27:00Z</dcterms:modified>
</cp:coreProperties>
</file>